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2c0a" w14:textId="72a2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"Ойыншықтардың қауіпсіздігі туралы" техникалық регламентінің (КО ТР 008/2011)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"Ойыншықтардың қауіпсіздігі туралы" техникалық регламентінің (КО ТР 008/2011)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211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51-бабының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2012 жылғы 12 желтоқсандағы № 275 шешімімен бекітілген Ерікті негізде қолдану нәтижесінде Кеден одағының "Ойыншықтардың қауіпсіздігі туралы" техникалық регламентінің (КО ТР 008/2011)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"Ойыншықтардың қауіпсіздігі туралы" техникалық регламентінің (КО ТР 008/2011)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211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Ерікті негізде қолдану нәтижесінде Кеден одағының "Ойыншықтардың қауіпсіздігі туралы" техникалық регламентінің (КО ТР 008/2011) сақталуы қамтамасыз етілетін мемлекетаралық стандарттарды, сондай-ақ зерттеулердің (сынақтардың) және өлшемдердің ережелері мен әдістерін, соның ішінде Кеден одағының "Ойыншықтардың қауіпсіздігі туралы" техникалық регламентінің (КО ТР 008/2011)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мемлекетаралық стандарттарды әзірлеу (өзгерістер енгізу, қайта қарау) жөніндегі бағдарламаға енгізілетін ӨЗГЕРІСТЕР</w:t>
      </w:r>
    </w:p>
    <w:bookmarkEnd w:id="0"/>
    <w:bookmarkStart w:name="z6" w:id="1"/>
    <w:p>
      <w:pPr>
        <w:spacing w:after="0"/>
        <w:ind w:left="0"/>
        <w:jc w:val="both"/>
      </w:pPr>
      <w:r>
        <w:rPr>
          <w:rFonts w:ascii="Times New Roman"/>
          <w:b w:val="false"/>
          <w:i w:val="false"/>
          <w:color w:val="000000"/>
          <w:sz w:val="28"/>
        </w:rPr>
        <w:t>
      Мынадай мазмұндағы 15 – 21 позициялармен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Ойыншықтар</w:t>
            </w:r>
            <w:r>
              <w:rPr>
                <w:rFonts w:ascii="Times New Roman"/>
                <w:b/>
                <w:i w:val="false"/>
                <w:color w:val="000000"/>
                <w:sz w:val="20"/>
              </w:rPr>
              <w:t xml:space="preserve">. </w:t>
            </w:r>
            <w:r>
              <w:rPr>
                <w:rFonts w:ascii="Times New Roman"/>
                <w:b/>
                <w:i w:val="false"/>
                <w:color w:val="000000"/>
                <w:sz w:val="20"/>
              </w:rPr>
              <w:t>Қауіпсіздік талаптары</w:t>
            </w:r>
            <w:r>
              <w:rPr>
                <w:rFonts w:ascii="Times New Roman"/>
                <w:b/>
                <w:i w:val="false"/>
                <w:color w:val="000000"/>
                <w:sz w:val="20"/>
              </w:rPr>
              <w:t>. 1</w:t>
            </w:r>
            <w:r>
              <w:rPr>
                <w:rFonts w:ascii="Times New Roman"/>
                <w:b/>
                <w:i w:val="false"/>
                <w:color w:val="000000"/>
                <w:sz w:val="20"/>
              </w:rPr>
              <w:t>-бөлім</w:t>
            </w:r>
            <w:r>
              <w:rPr>
                <w:rFonts w:ascii="Times New Roman"/>
                <w:b/>
                <w:i w:val="false"/>
                <w:color w:val="000000"/>
                <w:sz w:val="20"/>
              </w:rPr>
              <w:t xml:space="preserve">. </w:t>
            </w:r>
            <w:r>
              <w:rPr>
                <w:rFonts w:ascii="Times New Roman"/>
                <w:b/>
                <w:i w:val="false"/>
                <w:color w:val="000000"/>
                <w:sz w:val="20"/>
              </w:rPr>
              <w:t>Механи</w:t>
            </w:r>
            <w:r>
              <w:rPr>
                <w:rFonts w:ascii="Times New Roman"/>
                <w:b/>
                <w:i w:val="false"/>
                <w:color w:val="000000"/>
                <w:sz w:val="20"/>
              </w:rPr>
              <w:t xml:space="preserve">калық және </w:t>
            </w:r>
            <w:r>
              <w:rPr>
                <w:rFonts w:ascii="Times New Roman"/>
                <w:b/>
                <w:i w:val="false"/>
                <w:color w:val="000000"/>
                <w:sz w:val="20"/>
              </w:rPr>
              <w:t>физи</w:t>
            </w:r>
            <w:r>
              <w:rPr>
                <w:rFonts w:ascii="Times New Roman"/>
                <w:b/>
                <w:i w:val="false"/>
                <w:color w:val="000000"/>
                <w:sz w:val="20"/>
              </w:rPr>
              <w:t>калық қасиеттер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МЕМСТ EN 71-1-2014</w:t>
            </w:r>
            <w:r>
              <w:rPr>
                <w:rFonts w:ascii="Times New Roman"/>
                <w:b/>
                <w:i w:val="false"/>
                <w:color w:val="000000"/>
                <w:sz w:val="20"/>
              </w:rPr>
              <w:t xml:space="preserve">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w:t>
            </w:r>
            <w:r>
              <w:rPr>
                <w:rFonts w:ascii="Times New Roman"/>
                <w:b/>
                <w:i w:val="false"/>
                <w:color w:val="000000"/>
                <w:sz w:val="20"/>
              </w:rPr>
              <w:t xml:space="preserve">3.1 – 3.3, 3.9, 4 </w:t>
            </w:r>
            <w:r>
              <w:rPr>
                <w:rFonts w:ascii="Times New Roman"/>
                <w:b/>
                <w:i w:val="false"/>
                <w:color w:val="000000"/>
                <w:sz w:val="20"/>
              </w:rPr>
              <w:t>және</w:t>
            </w:r>
            <w:r>
              <w:rPr>
                <w:rFonts w:ascii="Times New Roman"/>
                <w:b/>
                <w:i w:val="false"/>
                <w:color w:val="000000"/>
                <w:sz w:val="20"/>
              </w:rPr>
              <w:t xml:space="preserve"> 5</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2021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8-бөлім. Жасын анықтау бойынша жетекші нұсқаулар.</w:t>
            </w:r>
          </w:p>
          <w:p>
            <w:pPr>
              <w:spacing w:after="20"/>
              <w:ind w:left="20"/>
              <w:jc w:val="both"/>
            </w:pPr>
            <w:r>
              <w:rPr>
                <w:rFonts w:ascii="Times New Roman"/>
                <w:b w:val="false"/>
                <w:i w:val="false"/>
                <w:color w:val="000000"/>
                <w:sz w:val="20"/>
              </w:rPr>
              <w:t>
ISO/TR 8124-8:2016 және ҚР СТ ISO/TR 8124-8-2018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5.3-тармағы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7-бөлім. Саусақпен сурет салуға арналған бояулар. Техникалық талаптар және сынақ әдістері.</w:t>
            </w:r>
          </w:p>
          <w:p>
            <w:pPr>
              <w:spacing w:after="20"/>
              <w:ind w:left="20"/>
              <w:jc w:val="both"/>
            </w:pPr>
            <w:r>
              <w:rPr>
                <w:rFonts w:ascii="Times New Roman"/>
                <w:b w:val="false"/>
                <w:i w:val="false"/>
                <w:color w:val="000000"/>
                <w:sz w:val="20"/>
              </w:rPr>
              <w:t>
МЕМСТ EN 71-7-2014 қайта қарау.</w:t>
            </w:r>
          </w:p>
          <w:p>
            <w:pPr>
              <w:spacing w:after="20"/>
              <w:ind w:left="20"/>
              <w:jc w:val="both"/>
            </w:pPr>
            <w:r>
              <w:rPr>
                <w:rFonts w:ascii="Times New Roman"/>
                <w:b w:val="false"/>
                <w:i w:val="false"/>
                <w:color w:val="000000"/>
                <w:sz w:val="20"/>
              </w:rPr>
              <w:t>
EN 71-7:2014+A2:2018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3.4, 3.5, 4 және </w:t>
            </w:r>
          </w:p>
          <w:p>
            <w:pPr>
              <w:spacing w:after="20"/>
              <w:ind w:left="20"/>
              <w:jc w:val="both"/>
            </w:pPr>
            <w:r>
              <w:rPr>
                <w:rFonts w:ascii="Times New Roman"/>
                <w:b w:val="false"/>
                <w:i w:val="false"/>
                <w:color w:val="000000"/>
                <w:sz w:val="20"/>
              </w:rPr>
              <w:t>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8-бөлім. Үйде пайдалану үшін белсенді демалысқа арналған ойыншықтар.</w:t>
            </w:r>
          </w:p>
          <w:p>
            <w:pPr>
              <w:spacing w:after="20"/>
              <w:ind w:left="20"/>
              <w:jc w:val="both"/>
            </w:pPr>
            <w:r>
              <w:rPr>
                <w:rFonts w:ascii="Times New Roman"/>
                <w:b w:val="false"/>
                <w:i w:val="false"/>
                <w:color w:val="000000"/>
                <w:sz w:val="20"/>
              </w:rPr>
              <w:t xml:space="preserve">
МЕМСТ EN 71-8-2014 қайта қарау. </w:t>
            </w:r>
          </w:p>
          <w:p>
            <w:pPr>
              <w:spacing w:after="20"/>
              <w:ind w:left="20"/>
              <w:jc w:val="both"/>
            </w:pPr>
            <w:r>
              <w:rPr>
                <w:rFonts w:ascii="Times New Roman"/>
                <w:b w:val="false"/>
                <w:i w:val="false"/>
                <w:color w:val="000000"/>
                <w:sz w:val="20"/>
              </w:rPr>
              <w:t>
EN 71-8:2018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3.1, 3.2, 4 және </w:t>
            </w:r>
          </w:p>
          <w:p>
            <w:pPr>
              <w:spacing w:after="20"/>
              <w:ind w:left="20"/>
              <w:jc w:val="both"/>
            </w:pPr>
            <w:r>
              <w:rPr>
                <w:rFonts w:ascii="Times New Roman"/>
                <w:b w:val="false"/>
                <w:i w:val="false"/>
                <w:color w:val="000000"/>
                <w:sz w:val="20"/>
              </w:rPr>
              <w:t>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97.200.50</w:t>
            </w:r>
          </w:p>
          <w:p>
            <w:pPr>
              <w:spacing w:after="20"/>
              <w:ind w:left="20"/>
              <w:jc w:val="both"/>
            </w:pPr>
            <w:r>
              <w:rPr>
                <w:rFonts w:ascii="Times New Roman"/>
                <w:b w:val="false"/>
                <w:i w:val="false"/>
                <w:color w:val="000000"/>
                <w:sz w:val="20"/>
              </w:rPr>
              <w:t>
13.120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ойыншықтар. Қауіпсіздік.</w:t>
            </w:r>
          </w:p>
          <w:p>
            <w:pPr>
              <w:spacing w:after="20"/>
              <w:ind w:left="20"/>
              <w:jc w:val="both"/>
            </w:pPr>
            <w:r>
              <w:rPr>
                <w:rFonts w:ascii="Times New Roman"/>
                <w:b w:val="false"/>
                <w:i w:val="false"/>
                <w:color w:val="000000"/>
                <w:sz w:val="20"/>
              </w:rPr>
              <w:t>
МЕМСТ IEC 62115-2014 қайта қарау.</w:t>
            </w:r>
          </w:p>
          <w:p>
            <w:pPr>
              <w:spacing w:after="20"/>
              <w:ind w:left="20"/>
              <w:jc w:val="both"/>
            </w:pPr>
            <w:r>
              <w:rPr>
                <w:rFonts w:ascii="Times New Roman"/>
                <w:b w:val="false"/>
                <w:i w:val="false"/>
                <w:color w:val="000000"/>
                <w:sz w:val="20"/>
              </w:rPr>
              <w:t>
IEC 62115:2017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3.6, 4 және </w:t>
            </w:r>
          </w:p>
          <w:p>
            <w:pPr>
              <w:spacing w:after="20"/>
              <w:ind w:left="20"/>
              <w:jc w:val="both"/>
            </w:pPr>
            <w:r>
              <w:rPr>
                <w:rFonts w:ascii="Times New Roman"/>
                <w:b w:val="false"/>
                <w:i w:val="false"/>
                <w:color w:val="000000"/>
                <w:sz w:val="20"/>
              </w:rPr>
              <w:t>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бұйымдардың қауіпсіздігі. 1-бөлім. Жабдықтарды сыныптау және талаптар.</w:t>
            </w:r>
          </w:p>
          <w:p>
            <w:pPr>
              <w:spacing w:after="20"/>
              <w:ind w:left="20"/>
              <w:jc w:val="both"/>
            </w:pPr>
            <w:r>
              <w:rPr>
                <w:rFonts w:ascii="Times New Roman"/>
                <w:b w:val="false"/>
                <w:i w:val="false"/>
                <w:color w:val="000000"/>
                <w:sz w:val="20"/>
              </w:rPr>
              <w:t>
МЕМСТ IEC 60825-1-2013 қайта қарау.</w:t>
            </w:r>
          </w:p>
          <w:p>
            <w:pPr>
              <w:spacing w:after="20"/>
              <w:ind w:left="20"/>
              <w:jc w:val="both"/>
            </w:pPr>
            <w:r>
              <w:rPr>
                <w:rFonts w:ascii="Times New Roman"/>
                <w:b w:val="false"/>
                <w:i w:val="false"/>
                <w:color w:val="000000"/>
                <w:sz w:val="20"/>
              </w:rPr>
              <w:t>
IEC 60825-1:2017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3.2-тармағы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сапасы. Кейбір элементтерді индуктивті байланысты плазмамен (ICP-OES) атомды-эмиссиялық спектрометрия әдісімен анықтау.</w:t>
            </w:r>
          </w:p>
          <w:p>
            <w:pPr>
              <w:spacing w:after="20"/>
              <w:ind w:left="20"/>
              <w:jc w:val="both"/>
            </w:pPr>
            <w:r>
              <w:rPr>
                <w:rFonts w:ascii="Times New Roman"/>
                <w:b w:val="false"/>
                <w:i w:val="false"/>
                <w:color w:val="000000"/>
                <w:sz w:val="20"/>
              </w:rPr>
              <w:t>
ISO 11885-2007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