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59ce" w14:textId="55b5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алюминий электр-лизерлерді футерлеу үшін табандық массаға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17 қыркүйектегі № 161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қосалқы позиция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қосалқы позициялар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баждарының ставкалары белгіленсін;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одақтың Бірыңғай кедендік тарифіне ескерту мынадай мазмұндағы 61С ескертумен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61С)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%-ы мөлшеріндегі кедендік  әкелу бажының ставкасы Еуразиялық экономикалық комиссия Алқасының 2019 жылғы 17 қыркүйектегі № 161 шешімі күшіне енген күннен бастап қоса алғанда 31.10.2020 жылға дейін қолданылады.".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КІШІ ҚОСАЛҚЫ ПОЗИЦИЯ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өлш. 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қосылатын КІШІ ҚОСАЛҚЫ ПОЗИЦИЯЛАР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өлш. 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өзгелер: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хинолинде ерімейтін заттардың салмақ үлесі 76 %-дан кем болмайтын сусымалы майлы материал түріндегі алюминий электр-лизерлерді футерлеу үшін табандық масса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 өзгелер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 кедендік әкелу баждарының СТАВКАЛАРЫ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ставкасы (кедендік құннан пайыздармен не еуромен,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хинолинде ерімейтін заттардың салмақ үлесі 76 %-дан кем болмайтын сусымалы майлы материал түріндегі алюминий электр-лизерлерді футерлеу үшін табандық масса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 өзгелер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