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5753" w14:textId="7d25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тікұшақтардың өндірісіне арналған қозғалтқыштар мен газ турбиналардың жекелеген түрлеріне қатысты, сондай-ақ Еуразиялық экономикалық комиссия Алқасының 2016 жылғы 19 сәуірдегі № 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160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2.4-бабына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позициялар алып тасталсын; </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xml:space="preserve">
      г) Еуразиялық экономикалық одақтың Бірыңғай кедендік тарифіне ескерту мынадай мазмұндағы 62С ескертумен толықтырылсын: </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62С)</w:t>
      </w:r>
      <w:r>
        <w:rPr>
          <w:rFonts w:ascii="Times New Roman"/>
          <w:b w:val="false"/>
          <w:i w:val="false"/>
          <w:color w:val="000000"/>
          <w:sz w:val="28"/>
        </w:rPr>
        <w:t xml:space="preserve"> Кедендік құнның 0 (нөл) %-ы мөлшеріндегі кедендік әкелу бажының ставкасы Еуразиялық экономикалық комиссия Алқасының 2019 жылғы 17 қыркүйектегі № 160 шешімі күшіне енген күннен бастап қоса алғанда 31.12.2022 жылға дейін қолданылады.".</w:t>
      </w:r>
    </w:p>
    <w:bookmarkStart w:name="z7" w:id="6"/>
    <w:p>
      <w:pPr>
        <w:spacing w:after="0"/>
        <w:ind w:left="0"/>
        <w:jc w:val="both"/>
      </w:pPr>
      <w:r>
        <w:rPr>
          <w:rFonts w:ascii="Times New Roman"/>
          <w:b w:val="false"/>
          <w:i w:val="false"/>
          <w:color w:val="000000"/>
          <w:sz w:val="28"/>
        </w:rPr>
        <w:t>
      2.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өздеріне қатысты кедендік әкелу баждарының ставкалары қолданылатын жекелеген тауарлардың және Еуразиялық экономикалық комиссия Алқасының 2016 жылғы 19 сәуірдегі шешімімен бекітілген мұндай баждар ставкаларының тізбесінде ЕАЭО СӘҚ ТН 8411 81 000 9 деген коды бар позиция мынадай мазмұндағы позициялармен ауыстырылсын: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"8411 81 000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тікұшақтардың өндірісіне арналған, қуаты </w:t>
            </w:r>
            <w:r>
              <w:rPr>
                <w:rFonts w:ascii="Times New Roman"/>
                <w:b/>
                <w:i w:val="false"/>
                <w:color w:val="000000"/>
                <w:sz w:val="20"/>
              </w:rPr>
              <w:t>3 кВт</w:t>
            </w:r>
            <w:r>
              <w:rPr>
                <w:rFonts w:ascii="Times New Roman"/>
                <w:b/>
                <w:i w:val="false"/>
                <w:color w:val="000000"/>
                <w:sz w:val="20"/>
              </w:rPr>
              <w:t>-дан астам</w:t>
            </w:r>
            <w:r>
              <w:rPr>
                <w:rFonts w:ascii="Times New Roman"/>
                <w:b/>
                <w:i w:val="false"/>
                <w:color w:val="000000"/>
                <w:sz w:val="20"/>
              </w:rPr>
              <w:t xml:space="preserve">, </w:t>
            </w:r>
            <w:r>
              <w:rPr>
                <w:rFonts w:ascii="Times New Roman"/>
                <w:b/>
                <w:i w:val="false"/>
                <w:color w:val="000000"/>
                <w:sz w:val="20"/>
              </w:rPr>
              <w:t xml:space="preserve">бірақ </w:t>
            </w:r>
            <w:r>
              <w:rPr>
                <w:rFonts w:ascii="Times New Roman"/>
                <w:b/>
                <w:i w:val="false"/>
                <w:color w:val="000000"/>
                <w:sz w:val="20"/>
              </w:rPr>
              <w:t>20 кВт</w:t>
            </w:r>
            <w:r>
              <w:rPr>
                <w:rFonts w:ascii="Times New Roman"/>
                <w:b/>
                <w:i w:val="false"/>
                <w:color w:val="000000"/>
                <w:sz w:val="20"/>
              </w:rPr>
              <w:t>-дан көп емес</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400 кВт-дан астам, бірақ 1300 кВт-дан көп емес</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 Кеңесінің кейбір шешімдеріне тікұшақтардың өндірісіне арналған қозғалтқыштар мен газ турбиналардың жекелеген түрлеріне қатысты өзгерістер енгізу туралы Еуразиялық экономикалық комиссия Кеңесінің шешімі күшінен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160 Шешіміне</w:t>
            </w:r>
            <w:r>
              <w:br/>
            </w:r>
            <w:r>
              <w:rPr>
                <w:rFonts w:ascii="Times New Roman"/>
                <w:b w:val="false"/>
                <w:i w:val="false"/>
                <w:color w:val="000000"/>
                <w:sz w:val="20"/>
              </w:rPr>
              <w:t>№ 1 ҚОСЫМША</w:t>
            </w:r>
          </w:p>
        </w:tc>
      </w:tr>
    </w:tbl>
    <w:bookmarkStart w:name="z10"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w:t>
            </w:r>
            <w:r>
              <w:rPr>
                <w:rFonts w:ascii="Times New Roman"/>
                <w:b/>
                <w:i w:val="false"/>
                <w:color w:val="000000"/>
                <w:sz w:val="20"/>
              </w:rPr>
              <w:t>.</w:t>
            </w:r>
            <w:r>
              <w:rPr>
                <w:rFonts w:ascii="Times New Roman"/>
                <w:b/>
                <w:i w:val="false"/>
                <w:color w:val="000000"/>
                <w:sz w:val="20"/>
              </w:rPr>
              <w:t>өлш</w:t>
            </w:r>
            <w:r>
              <w:rPr>
                <w:rFonts w:ascii="Times New Roman"/>
                <w:b/>
                <w:i w:val="false"/>
                <w:color w:val="000000"/>
                <w:sz w:val="20"/>
              </w:rPr>
              <w:t xml:space="preserve">. </w:t>
            </w:r>
            <w:r>
              <w:rPr>
                <w:rFonts w:ascii="Times New Roman"/>
                <w:b/>
                <w:i w:val="false"/>
                <w:color w:val="000000"/>
                <w:sz w:val="20"/>
              </w:rPr>
              <w:t>бірл</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160 Шешіміне</w:t>
            </w:r>
            <w:r>
              <w:br/>
            </w:r>
            <w:r>
              <w:rPr>
                <w:rFonts w:ascii="Times New Roman"/>
                <w:b w:val="false"/>
                <w:i w:val="false"/>
                <w:color w:val="000000"/>
                <w:sz w:val="20"/>
              </w:rPr>
              <w:t>№ 2 ҚОСЫМША</w:t>
            </w:r>
          </w:p>
        </w:tc>
      </w:tr>
    </w:tbl>
    <w:bookmarkStart w:name="z12" w:id="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КІШІ ҚОСАЛҚЫ ПОЗИЦИЯЛАР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w:t>
            </w:r>
            <w:r>
              <w:rPr>
                <w:rFonts w:ascii="Times New Roman"/>
                <w:b w:val="false"/>
                <w:i w:val="false"/>
                <w:color w:val="000000"/>
                <w:sz w:val="20"/>
              </w:rPr>
              <w:t xml:space="preserve"> </w:t>
            </w:r>
            <w:r>
              <w:rPr>
                <w:rFonts w:ascii="Times New Roman"/>
                <w:b/>
                <w:i w:val="false"/>
                <w:color w:val="000000"/>
                <w:sz w:val="20"/>
              </w:rPr>
              <w:t>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тікұшақтардың өндірісіне арналған, қуаты 8000 кВт-дан астам, бірақ 8800 кВт-дан көп емес5)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3 кВт-дан астам, бірақ 20 кВт-дан көп емес5)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400 кВт-дан астам, бірақ 1300 кВт-дан көп емес5)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*ЕАЭО СЭҚ ТН-нің 8411 22 800 1 кіші қосалқы позициясынан кейінгі кодсыз кіші қосалқы позиция.</w:t>
      </w:r>
    </w:p>
    <w:p>
      <w:pPr>
        <w:spacing w:after="0"/>
        <w:ind w:left="0"/>
        <w:jc w:val="both"/>
      </w:pPr>
      <w:r>
        <w:rPr>
          <w:rFonts w:ascii="Times New Roman"/>
          <w:b w:val="false"/>
          <w:i w:val="false"/>
          <w:color w:val="000000"/>
          <w:sz w:val="28"/>
        </w:rPr>
        <w:t>
       ЕАЭО СЭҚ ТН-нің 8411 81 000 1 кіші қосалқы позициясынан кейінгі кодсыз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160 шешіміне</w:t>
            </w:r>
            <w:r>
              <w:br/>
            </w:r>
            <w:r>
              <w:rPr>
                <w:rFonts w:ascii="Times New Roman"/>
                <w:b w:val="false"/>
                <w:i w:val="false"/>
                <w:color w:val="000000"/>
                <w:sz w:val="20"/>
              </w:rPr>
              <w:t>№ 3 ҚОСЫМША</w:t>
            </w:r>
          </w:p>
        </w:tc>
      </w:tr>
    </w:tbl>
    <w:bookmarkStart w:name="z14" w:id="10"/>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СТАВКАЛАРЫ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бажының </w:t>
            </w:r>
            <w:r>
              <w:rPr>
                <w:rFonts w:ascii="Times New Roman"/>
                <w:b/>
                <w:i w:val="false"/>
                <w:color w:val="000000"/>
                <w:sz w:val="20"/>
              </w:rPr>
              <w:t>ставкасы</w:t>
            </w:r>
            <w:r>
              <w:rPr>
                <w:rFonts w:ascii="Times New Roman"/>
                <w:b/>
                <w:i w:val="false"/>
                <w:color w:val="000000"/>
                <w:sz w:val="20"/>
              </w:rPr>
              <w:t xml:space="preserve"> (кедендік құннан пайыздармен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тікұшақтардың өндірісіне арналған, қуаты 8000 кВт-дан астам, бірақ 8800 кВт-дан көп емес</w:t>
            </w:r>
            <w:r>
              <w:rPr>
                <w:rFonts w:ascii="Times New Roman"/>
                <w:b w:val="false"/>
                <w:i w:val="false"/>
                <w:color w:val="000000"/>
                <w:vertAlign w:val="superscript"/>
              </w:rPr>
              <w:t>5)</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62С)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3 кВт-дан астам, бірақ 20 кВт-дан көп емес</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62С)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тікұшақтардың өндірісіне арналған, қуаты 400 кВт-дан астам, бірақ 1300 кВт-дан көп емес</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62С)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