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7c4d" w14:textId="c4f7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құралының типін мақұлдау, шассидің типін мақұлдау бланкілерін, техникалық регламентке сәйкестікті куәландыратын құжаттың күшін жою туралы хабарламаны, көлік құралы конструкциясының қауіпсіздігі туралы куәлікті және көлік құралының конструкциясына енгізілген қауіпсіздік талаптарының өзгерістерімен қоса көлік құралының сәйкестігі туралы куәлікті толтыру қағидаларына № 4 қосымшаға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10 қыркүйектегі № 153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5-тармағының</w:t>
      </w:r>
      <w:r>
        <w:rPr>
          <w:rFonts w:ascii="Times New Roman"/>
          <w:b w:val="false"/>
          <w:i w:val="false"/>
          <w:color w:val="000000"/>
          <w:sz w:val="28"/>
        </w:rPr>
        <w:t xml:space="preserve"> сегізінші абзацына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9-тармағына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комиссия Алқасының 2014 жылғы 9 желтоқсандағы № 232 шешімімен бекітілген Көлік құралының типін мақұлдау, шассидің типін мақұлдау бланкілерін, техникалық регламентке сәйкестікті куәландыратын құжаттың күшін жою туралы хабарламаны, көлік құралы конструкциясының қауіпсіздігі туралы куәлікті және көлік құралының конструкциясына енгізілген қауіпсіздік талаптарының өзгерістерімен қоса көлік құралының сәйкестігі туралы куәлікті толтыру қағидаларына № 4 қосымшаның 6-алаңында  "Қозғалтқыштың орналасуы" және "Шанақтың типі/есіктердің саны (M1 санаты үшін)" деген жолдар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Шанақтың типі/есіктердің саны (M1 санаты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арттағы орындардың саны (M1 санаты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2. Осы Шешім күшіне енгенге дейін берілген көлік құралы конструкциясының қауіпсіздігі туралы куәліктер осы Шешімде көзделген өзгерістер ескеріле отырып ресімделген көлік құралы конструкциясының қауіпсіздігі туралы куәліктермен қатар жарамды болып табылады деп белгіленсін.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