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b9b3" w14:textId="d7db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түзетудің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қыркүйектегі № 142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3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 түзетудің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2020 жылғы 1 ақпаннан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142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түзетудің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"Сипаттамасы" деген бағандағы 3-позицияда "1.0.1" деген цифрлар "1.0.2" деген цифрлармен ауыстырылсын;</w:t>
      </w:r>
    </w:p>
    <w:bookmarkEnd w:id="5"/>
    <w:bookmarkStart w:name="z8" w:id="6"/>
    <w:p>
      <w:pPr>
        <w:spacing w:after="0"/>
        <w:ind w:left="0"/>
        <w:jc w:val="both"/>
      </w:pPr>
      <w:r>
        <w:rPr>
          <w:rFonts w:ascii="Times New Roman"/>
          <w:b w:val="false"/>
          <w:i w:val="false"/>
          <w:color w:val="000000"/>
          <w:sz w:val="28"/>
        </w:rPr>
        <w:t>
      б) "Сипаттамасы" деген бағандағы 6-позицияда "urn:EEC:R:037: GoodsDeclarationCorrection: v1.0.1" деген сөздер "urn:EEC:R:037: GoodsDeclarationCorrection: v1.0.2" деген сөздермен ауыстырылсын;</w:t>
      </w:r>
    </w:p>
    <w:bookmarkEnd w:id="6"/>
    <w:bookmarkStart w:name="z9" w:id="7"/>
    <w:p>
      <w:pPr>
        <w:spacing w:after="0"/>
        <w:ind w:left="0"/>
        <w:jc w:val="both"/>
      </w:pPr>
      <w:r>
        <w:rPr>
          <w:rFonts w:ascii="Times New Roman"/>
          <w:b w:val="false"/>
          <w:i w:val="false"/>
          <w:color w:val="000000"/>
          <w:sz w:val="28"/>
        </w:rPr>
        <w:t>
      в) "Сипаттамасы" деген бағандағы 8-позицияда "EEC_R_037_ GoodsDeclarationCorrection_ v1.0.1.xsd" деген сөздер "EEC_R_037_ GoodsDeclarationCorrection_ v1.0.2.xsd"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"3-кесте</w:t>
      </w:r>
    </w:p>
    <w:bookmarkEnd w:id="9"/>
    <w:bookmarkStart w:name="z12" w:id="10"/>
    <w:p>
      <w:pPr>
        <w:spacing w:after="0"/>
        <w:ind w:left="0"/>
        <w:jc w:val="left"/>
      </w:pPr>
      <w:r>
        <w:rPr>
          <w:rFonts w:ascii="Times New Roman"/>
          <w:b/>
          <w:i w:val="false"/>
          <w:color w:val="000000"/>
        </w:rPr>
        <w:t xml:space="preserve"> Тауарларға арналған декларацияны түзету құрылымының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күннің және уақыттың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арадағы айырма көрсетілген жергілікті уақыт мәні түріндегі электрондық құжаттың (мәліметтердің) қалыптасу күнін қамтуға тиіс, мұнда ссс - миллисекундтың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мәнін немесе керек-жарақтарды декларациялау кезінде -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 толтырылған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ЭД – егер тауарларға арналған декларацияны түзету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11. Парақтардың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12. Жөнелтілген ерекшеліктердің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ерекшеліктердің немесе көлік (тасымал), коммерциялық және (немесе) өзге де құжаттар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ерекшеліктердің немесе көлік (тасымал), коммерциялық және (немесе) өзге де құжаттар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14. Тауарлардың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декларацияланатын тауарлар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15. Тауарларға арналған декларацияны түзетудегі тауарлар саны</w:t>
            </w:r>
          </w:p>
          <w:p>
            <w:pPr>
              <w:spacing w:after="20"/>
              <w:ind w:left="20"/>
              <w:jc w:val="both"/>
            </w:pPr>
            <w:r>
              <w:rPr>
                <w:rFonts w:ascii="Times New Roman"/>
                <w:b w:val="false"/>
                <w:i w:val="false"/>
                <w:color w:val="000000"/>
                <w:sz w:val="20"/>
              </w:rPr>
              <w:t>
(casdo:‌GDCGoods‌Quantity)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түзетудегі тауарлар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17. Декларант (мәлімдеуші) </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(мәлімдеуші)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 толтыру кезінде деректеменің бір данасы ғана қалыптастырылуға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 тізіліміне енгізілгені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18. Тауар партиясы </w:t>
            </w:r>
          </w:p>
          <w:p>
            <w:pPr>
              <w:spacing w:after="20"/>
              <w:ind w:left="20"/>
              <w:jc w:val="both"/>
            </w:pPr>
            <w:r>
              <w:rPr>
                <w:rFonts w:ascii="Times New Roman"/>
                <w:b w:val="false"/>
                <w:i w:val="false"/>
                <w:color w:val="000000"/>
                <w:sz w:val="20"/>
              </w:rPr>
              <w:t>
(cacdo:‌GDCGoods‌Shipment‌Details)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cacdo:‌GDCGoods‌Shipment‌Details‌Type (M.CA.CDT.00205)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18.1. Жөнелту елі</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немесе "00" -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"00" мәнін қамтыса,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18.3. Сауда жасаушы ел</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18.4. Жеткізу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белгіленуі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жеткізу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Значение по умолчанию: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18.8. Жөнелтуші </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қамтылуға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толтырған кезде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18.9. Алушы </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алушы туралы мәліметтер қамтылуға тиіс, тауарларға арналған декларацияның 14-бағанында мәлімдеуге жататын мәліметтер қайталанады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18.10. Қаржылық реттеу үшін жауапты тұлға </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қаржылық реттеуге жауапты тұлға туралы мәліметтер қамтылуға тиіс,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алдыңғы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тиісінше: "00", "99", "EU" мәндерінің бірін қамтыса, мына: "белгісіз", "әртүрлі", "Еуроодақ" мәндерінің бірін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18.15. Мәміленің сипаты </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18.15.1. Мәміленің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 .</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 ерекшеліктерінің сыныптауышына сәйкес кодтың мәні .</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18.16. Тасымалдау</w:t>
            </w:r>
          </w:p>
          <w:p>
            <w:pPr>
              <w:spacing w:after="20"/>
              <w:ind w:left="20"/>
              <w:jc w:val="both"/>
            </w:pPr>
            <w:r>
              <w:rPr>
                <w:rFonts w:ascii="Times New Roman"/>
                <w:b w:val="false"/>
                <w:i w:val="false"/>
                <w:color w:val="000000"/>
                <w:sz w:val="20"/>
              </w:rPr>
              <w:t>
(cacdo:‌GDCConsignment‌Details)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cacdo:‌GDCConsignment‌Details‌Type (M.CA.CDT.00206)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18.16.3. Келу (жөнелтілу)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(жөнелтілу)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немесе кету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органы (cacdo:BorderCustomsOfficeDetails)"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18.17. Тауарлардың орналасқан жері </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(темір 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тізілімге енгізу туралы куәлік, уақытша сақтау қоймаларының иелерін тізілімге енгізу туралы куәлік, тұлғаның еркін (арнайы, ерекше) экономикалық аймақтың резиденті (қатысушысы) ретінде тіркелгенін куәландыратын құжат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18.17.6. Тауарлар тиелген көлік құралы </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18.18. Тауар</w:t>
            </w:r>
          </w:p>
          <w:p>
            <w:pPr>
              <w:spacing w:after="20"/>
              <w:ind w:left="20"/>
              <w:jc w:val="both"/>
            </w:pPr>
            <w:r>
              <w:rPr>
                <w:rFonts w:ascii="Times New Roman"/>
                <w:b w:val="false"/>
                <w:i w:val="false"/>
                <w:color w:val="000000"/>
                <w:sz w:val="20"/>
              </w:rPr>
              <w:t>
(cacdo:‌GDCGoods‌Item‌Details)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cacdo:‌GDCGoods‌Item‌Details‌Type (M.CA.CDT.00204)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18.18.4. Брутто массасы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тауардың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18.18.8. Тауарларға арналған декларацияны түзету бойынша тауардың реттік нөмірі</w:t>
            </w:r>
          </w:p>
          <w:p>
            <w:pPr>
              <w:spacing w:after="20"/>
              <w:ind w:left="20"/>
              <w:jc w:val="both"/>
            </w:pPr>
            <w:r>
              <w:rPr>
                <w:rFonts w:ascii="Times New Roman"/>
                <w:b w:val="false"/>
                <w:i w:val="false"/>
                <w:color w:val="000000"/>
                <w:sz w:val="20"/>
              </w:rPr>
              <w:t>
(casdo:‌GDCConsignment‌Item‌Ordinal)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 бойынша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1 – жалпы ("Ж");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18.18.10. Сәйкестендіру құралдарымен  тауарларды таңбалауға жатқызылатын тауарларға жатқызу белгісі</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(бақылау (сәйкестендіру) белгілерімен) тауарларды таңбалауға жатқызылатын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бақылау (сәйкестендіру белгілерімен) таңбалауға жататын, бірақ нормативтік құқықтық актілердің талаптарына сәйкес ондай таңбалауға жатпайтын тауарлардың тізбесіне енгізілген тауарлар үшін - "М"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18.18.11. Тыйым салулар мен шектеулерді қолданудан азат тауардың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шектеулерді қолданудан азат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шектеулер мен тыйым салуларды қолданудан азат тауарлар үшін - "С"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18.18.12. Тыйым салулар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 салулар мен шектеулердің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18.18.13. Зияткерлік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зияткерлік меншік объектілерін және (немесе) объектілердің белгілерін қамтитын тауарлар үшін - "И"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18.18.14. Тауарларға арналған декларациядағы мәліметтерді мәлімдеу ерекшелігінің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мәліметтерді көрсету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жөнелтілімдерімен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xml:space="preserve">
ЭКЖ –экспресс-жүктерді кедендік декларациялау кезінде; </w:t>
            </w:r>
          </w:p>
          <w:p>
            <w:pPr>
              <w:spacing w:after="20"/>
              <w:ind w:left="20"/>
              <w:jc w:val="both"/>
            </w:pPr>
            <w:r>
              <w:rPr>
                <w:rFonts w:ascii="Times New Roman"/>
                <w:b w:val="false"/>
                <w:i w:val="false"/>
                <w:color w:val="000000"/>
                <w:sz w:val="20"/>
              </w:rPr>
              <w:t xml:space="preserve">
ТСД – тауарларға арналған декларация ретінде көлік (тасымалдау), коммерциялық және (немесе) өзге де құжаттарды пайдалану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18.18.15. Кедендік қосымша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қосымша ақпарат сыныптауышына сәйкес тауардың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18.18.16. Лицензияланатын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автоматтық лицензиялау (қадағалау) енгізілген импортқа қатысты тауар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Импортты автоматты түрде лицензиялау (қадағалау) оларға қатысты қолданылатын болат құбырлардың кодтық белгілерінің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18.18.18. Жалпы брутто массасы</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брутто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18.18.19. Жалпы нетто массасы</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нетто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18.18.20. Тауарлар тобы </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*.4. Топтағы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*.4.2.1. Өндіруші</w:t>
            </w:r>
          </w:p>
          <w:p>
            <w:pPr>
              <w:spacing w:after="20"/>
              <w:ind w:left="20"/>
              <w:jc w:val="both"/>
            </w:pPr>
            <w:r>
              <w:rPr>
                <w:rFonts w:ascii="Times New Roman"/>
                <w:b w:val="false"/>
                <w:i w:val="false"/>
                <w:color w:val="000000"/>
                <w:sz w:val="20"/>
              </w:rPr>
              <w:t>
(casdo:‌Manufacturer‌Name)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*.4.2.3. Шығарылған жердің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*.4.3. Объектінің габариттік мөлшерлері </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габариттік мөлшерлері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габариттік мөлшерлері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*.4.4.5. Ауытқулардың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габариттік мөлшерлері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*.4.4.7. Тауардың келісімшартқа сәйкес көлемі</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18.18.21. Автомобиль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кузовының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 (cacdo:VehicleModelDetails)"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 күні (шығару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жұмыстық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жұмыстық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киловаттпен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 тасымалдауға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*.10. Жүрілген жол</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18.18.22. Зияткерлік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 "2" мәнін қамтыса және ол кеден органы зияткерлік меншік объектісін тізілімге енгізген мүше мемлекеттің кодтық белгіленімін қамтуға тиіс болса,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18.18.23. Жүк, жүк орындары, тұғырықтар және тауарлардың қаптамасы </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тауарлардың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сыйымдылықтарында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толтырылған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*.3. Тауармен ішінара толтырылған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ішінара толтырылған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орыны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тұтынушылық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қаптау материалы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*.5.3. Қаптамалардың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тұғырықтардың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18.18.24. Қаптаманы есептемегендегі тауардың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18.18.25. Контейнерлердің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жүктеу толықтығының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бүкіл контейнер тауарға толы;</w:t>
            </w:r>
          </w:p>
          <w:p>
            <w:pPr>
              <w:spacing w:after="20"/>
              <w:ind w:left="20"/>
              <w:jc w:val="both"/>
            </w:pPr>
            <w:r>
              <w:rPr>
                <w:rFonts w:ascii="Times New Roman"/>
                <w:b w:val="false"/>
                <w:i w:val="false"/>
                <w:color w:val="000000"/>
                <w:sz w:val="20"/>
              </w:rPr>
              <w:t>
2 – тауар контейнердің бір бөлігіне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18.18.26. Акциздік немесе арнайы маркалар </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маркалардың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маркалардың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*.3. Нөмірлердің (сәйкестендіргіштердің) тізбесі </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 диапазонының бірінші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*.4.2. Акциздік немесе арнайы маркалар нөмірлері (сәйкестендіргіштері) диапазонының соңғы нөмірі </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 диапазонының соңғы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18.18.27. Бақылау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қондыру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қондыру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бақылау (сәйкестендіру) белгілерімен таңбалау тауарлар шығарылғаннан кейін жүзеге асырылатын болса,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*.3.1. Бақылау (сәйкестендіру) белгісінің сәйкестендіру нөмірі (сәйкестендіргіші)</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көзге көрінетін сәйкестендіру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(сәйкестендіру) белгілері сәйкестендіру нөмірлерінің (сәйкестендіргіштерінің) диапазоны</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 сәйкестендіру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 сәйкестендіру нөмірлері (сәйкестендіргіштері) диапазонының соңғы нөмірі</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18.18.28. Сәйкестендіру құралдары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құралдарында бар, тауардың әрбір бірлігіне немесе тауар жапсырмасына немесе тұтыну қаптамасына (ал ол болмағанда – бастапқы қаптамаға) қондырылған сәйкестендіру кодтарының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құралы туралы мәліметтер</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деңгейлерінің анықтамалығына сәйкес таңбалау деңгейінің кодтық белгіленуі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0 – сәйкестендіру құралы тауарға немесе тауар жапсырмасына немесе тұтыну қаптамасына </w:t>
            </w:r>
          </w:p>
          <w:p>
            <w:pPr>
              <w:spacing w:after="20"/>
              <w:ind w:left="20"/>
              <w:jc w:val="both"/>
            </w:pPr>
            <w:r>
              <w:rPr>
                <w:rFonts w:ascii="Times New Roman"/>
                <w:b w:val="false"/>
                <w:i w:val="false"/>
                <w:color w:val="000000"/>
                <w:sz w:val="20"/>
              </w:rPr>
              <w:t xml:space="preserve">(ал ол болмаған жағдайда – бастапқы қаптамаға) қондырылған; </w:t>
            </w:r>
          </w:p>
          <w:p>
            <w:pPr>
              <w:spacing w:after="20"/>
              <w:ind w:left="20"/>
              <w:jc w:val="both"/>
            </w:pPr>
            <w:r>
              <w:rPr>
                <w:rFonts w:ascii="Times New Roman"/>
                <w:b w:val="false"/>
                <w:i w:val="false"/>
                <w:color w:val="000000"/>
                <w:sz w:val="20"/>
              </w:rPr>
              <w:t>
1 – сәйкестендіру құралы топтық қаптамаға қондырылған;</w:t>
            </w:r>
          </w:p>
          <w:p>
            <w:pPr>
              <w:spacing w:after="20"/>
              <w:ind w:left="20"/>
              <w:jc w:val="both"/>
            </w:pPr>
            <w:r>
              <w:rPr>
                <w:rFonts w:ascii="Times New Roman"/>
                <w:b w:val="false"/>
                <w:i w:val="false"/>
                <w:color w:val="000000"/>
                <w:sz w:val="20"/>
              </w:rPr>
              <w:t>
2 – сәйкестендіру құралы көлік қаптамасына қондырылған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*.2.2.1. Сәйкестендіру құралы</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сәйкестендірудің бір коды туралы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қолдану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*.2.2.1.2.2. Сәйкестендіру құралының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*.2.3. Сәйкестендіру құралдары мәндерінің диапазоны</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бірінші болып табылатын сәйкестендіру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қолдану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*.2.3.1.2.2. Сәйкестендіру құралының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 деректемесінің бір данасы сәйкестендіру кодтары мәндерінің диапазонында соңғы болып табылатын сәйкестендіру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қолдану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*.2.3.2.2.2. Сәйкестендіру құралының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18.18.29. Кезең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*.1. Алғашқы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алғашқы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18.18.30. Құбыр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өткізілетін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ЕАЭО СЭҚ ТН сәйкес жер қойнауын пайдаланушымен келісімшарт жасасқан күні қолданылатын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18.18.31. Электр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18.18.32. Инвестициялық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тізбесінде көрсетілген тауардың (технологиялық жабдықтың, құрауыштар мен олардың қосалқы бөлшектерінің,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тізілімі бойынша инвестициялық жобаның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жобаның енгізілген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 тізіліміне енгізілген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құрауыштардың және оның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*.5. Тауардың инвестициялық жоба шегіндегі реттік нөмірі </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бір инвестициялық жоба шегіндегі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жолының және (#x9) табуляциясының ажырауы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18.18.33. Еркін кеден аймағы немесе бос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бос қойма кедендік рәсіміне орналастырылған және декларацияланатын тауарды дайындау кезінде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*.1. Сілтемелік жазба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көрсетілген алдыңғы құжаттар туралы мәліметтер жазбасының (жол нөмірінің)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*.4. Тауарлар тобы </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*.4.4. Топтағы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*.4.4.2.1. Өндіруші</w:t>
            </w:r>
          </w:p>
          <w:p>
            <w:pPr>
              <w:spacing w:after="20"/>
              <w:ind w:left="20"/>
              <w:jc w:val="both"/>
            </w:pPr>
            <w:r>
              <w:rPr>
                <w:rFonts w:ascii="Times New Roman"/>
                <w:b w:val="false"/>
                <w:i w:val="false"/>
                <w:color w:val="000000"/>
                <w:sz w:val="20"/>
              </w:rPr>
              <w:t>
(casdo:‌Manufacturer‌Name)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*.4.4.2.3. Шығарылған жердің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*.4.4.2.6. Өнімнің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*.4.4.2.9. Өнім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*.4.4.3. Объектінің габариттік мөлшерлері </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габариттік мөлшерлері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габариттік мөлшерлері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*.4.4.4.5. Ауытқулардың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габариттік мөлшерлері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*.4.4.4.7. Тауардың келісімшартқа сәйкес көлемі</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18.18.34. Тауарларды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тауарларды қайта өңдеу шарттары туралы құжат ретінде пайдалану кезінде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(географиялық пункттің) атауы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операцияларының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операцияларының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 туралы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18.18.35. Шарт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*.1. Алушы </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шарт (келісімшарт) бойынша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атрибутта "1" мәні – негізгі мемлекеттік тіркеу нөмірі (ОГРН) немесе "2" мәні – дара кәсіпкердің негізгі мемлекеттік тіркеу нөмірі (ОГРНИП)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*.2. Шарттың (келісімшарттың)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есепке қою кезінде уәкілетті банк берген шарттың (келісімшарттың)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қосымша</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қосымшаның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*.5. Жеткізу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белгіленуі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жеткізу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18.18.36. Жеткізу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белгіленуі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жеткізу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18.18.37. Шығарылған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не мына мәндердің бірі қамтылуға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18.18.38. Тарифтік преференциялар беру мақсатында шығарған ел</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жерін айқындау қағидаларына сәйкес айқындалған шығарған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18.18.39. Преференциялар </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төлемдерді төлеу жөніндегі жеңілдіктер сыныптауышына сәйкес жеңілдік кодын немесе егер декларант тауарлар шығарылғаннан кейін тарифтік преференцияларды қалпына келтіруді жоспарласа -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18.18.40. Кедендік рәсім</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рәсімнің кодын немесе керек-жарақтарды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ерекшелігінің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құны (бағасы)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18.18.42. Валюта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Значение по умолчанию: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18.18.43. Кедендік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18.18.44. Кедендік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кедендік құнының алдыңғы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18.18.45. Статистикалық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18.18.46. Жалпы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18.18.47. Кедендік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құнды айқындау әдісі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 толтыру кезінде ол кедендік құнды айқындау әдістерінің сыныптауышына сәйкес әдіс кодын қамтуға тиіс. </w:t>
            </w:r>
          </w:p>
          <w:p>
            <w:pPr>
              <w:spacing w:after="20"/>
              <w:ind w:left="20"/>
              <w:jc w:val="both"/>
            </w:pPr>
            <w:r>
              <w:rPr>
                <w:rFonts w:ascii="Times New Roman"/>
                <w:b w:val="false"/>
                <w:i w:val="false"/>
                <w:color w:val="000000"/>
                <w:sz w:val="20"/>
              </w:rPr>
              <w:t xml:space="preserve">
Қазақстан Республикасында мүше мемлекеттердің валютасын, шетелдік валютаны (нумизматикалық мақсаттар үшін пайдаланатыннан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18.18.48. Квота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*.1. Квотаның сандық тұрғыдағы қалдығы </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*.2. Квотаның құндық тұрғыдағы қалдығы </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шығаруға арналған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18.18.49. Алдыңғы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алдыңғы құжат туралы жазбаның реттік нөмірін қамтуға тиіс. Нөмірлеу әрбір тауар үшін жеке 1-ден басталады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құжатта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 көрсетілген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 мәнді сілтеме жасау мақсаттары үшін пайдаланылатын бірегей сәйкестендіргіш немесе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 (рәсімді) жасаудың немесе оны аяқтаудың мәлімделетін мерзімі (тауарларды уақытша әкелу (әкету), сақтау, қайта өңдеу, арнайы кедендік рәсім қолданысы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жылға жетпесе; </w:t>
            </w:r>
          </w:p>
          <w:p>
            <w:pPr>
              <w:spacing w:after="20"/>
              <w:ind w:left="20"/>
              <w:jc w:val="both"/>
            </w:pPr>
            <w:r>
              <w:rPr>
                <w:rFonts w:ascii="Times New Roman"/>
                <w:b w:val="false"/>
                <w:i w:val="false"/>
                <w:color w:val="000000"/>
                <w:sz w:val="20"/>
              </w:rPr>
              <w:t>
2 – егер уақытша әкелу/әкету мерзімі 1 жылдан 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мәнді қабылдауға тиіс: "11" – озыңқы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(келісімшарттардың) тізіміне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құжат Кодекстің 109-бабының 10-тармағына сәйкес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оған қоса берілген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18.18.51. Кедендік төлемді есептеу</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есептеудің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негізінің өлшем бірлігінің кодтық белгіленуі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төлем ставкасы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ставкалары түрінің тізбесіне сәйкес кодтың мәні .</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құрауышы), қайта қаржыландыру ставкасы (негізгі ставка, есептік ставка), пайыздық ставка);</w:t>
            </w:r>
          </w:p>
          <w:p>
            <w:pPr>
              <w:spacing w:after="20"/>
              <w:ind w:left="20"/>
              <w:jc w:val="both"/>
            </w:pPr>
            <w:r>
              <w:rPr>
                <w:rFonts w:ascii="Times New Roman"/>
                <w:b w:val="false"/>
                <w:i w:val="false"/>
                <w:color w:val="000000"/>
                <w:sz w:val="20"/>
              </w:rPr>
              <w:t xml:space="preserve">
* – өзіндік ерекшелікті ставка (қиыстырылған ставканы құрайтын өзіндік ерекшелікті); </w:t>
            </w:r>
          </w:p>
          <w:p>
            <w:pPr>
              <w:spacing w:after="20"/>
              <w:ind w:left="20"/>
              <w:jc w:val="both"/>
            </w:pPr>
            <w:r>
              <w:rPr>
                <w:rFonts w:ascii="Times New Roman"/>
                <w:b w:val="false"/>
                <w:i w:val="false"/>
                <w:color w:val="000000"/>
                <w:sz w:val="20"/>
              </w:rPr>
              <w:t>
S – Қазақстан Республикасы үшін алымдардың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белгіленуі (өзіндік ерекшелікті ставка)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валютасының цифрлық кодтық белгіленуі (өзіндік ерекшелікті ставка)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салмақтық коэффициенті (өзіндік ерекшелікті ставка)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жазба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мәліметтердегі жазбаның сілтемелік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сілтемелік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18.18.52. Кедендік рәсімдердің қолданылу мерзімін автоматтандырылған бақылау тізіліміне енгізуге арналған тауардың саны</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мерзімін автоматтандырылған бақылау тізіліміне енгізуге арналған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18.18.53. Өзгерістер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қызметін атқаратын мән-жайлардың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18.19. Төлемнің жай-жапсары</w:t>
            </w:r>
          </w:p>
          <w:p>
            <w:pPr>
              <w:spacing w:after="20"/>
              <w:ind w:left="20"/>
              <w:jc w:val="both"/>
            </w:pPr>
            <w:r>
              <w:rPr>
                <w:rFonts w:ascii="Times New Roman"/>
                <w:b w:val="false"/>
                <w:i w:val="false"/>
                <w:color w:val="000000"/>
                <w:sz w:val="20"/>
              </w:rPr>
              <w:t>
(cacdo:‌GDCFact‌Payment‌Details)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(өндіріп алынған) немесе қайтарылған кедендік және өзге де төлемдер сомасы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cacdo:‌GDCFact‌Payment‌Details‌Type (M.CA.CDT.00350)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мәні: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18.19.4. Алдыңғы төлем сомасы</w:t>
            </w:r>
          </w:p>
          <w:p>
            <w:pPr>
              <w:spacing w:after="20"/>
              <w:ind w:left="20"/>
              <w:jc w:val="both"/>
            </w:pPr>
            <w:r>
              <w:rPr>
                <w:rFonts w:ascii="Times New Roman"/>
                <w:b w:val="false"/>
                <w:i w:val="false"/>
                <w:color w:val="000000"/>
                <w:sz w:val="20"/>
              </w:rPr>
              <w:t>
(casdo:‌Previous‌CAPayment‌NAmount)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төлем сомасы (casdo:PreviousCAPaymentNAmount)" деректемесі толтырылған жағдайда атрибут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18.19.5. Төлем сомасының өзгерісі</w:t>
            </w:r>
          </w:p>
          <w:p>
            <w:pPr>
              <w:spacing w:after="20"/>
              <w:ind w:left="20"/>
              <w:jc w:val="both"/>
            </w:pPr>
            <w:r>
              <w:rPr>
                <w:rFonts w:ascii="Times New Roman"/>
                <w:b w:val="false"/>
                <w:i w:val="false"/>
                <w:color w:val="000000"/>
                <w:sz w:val="20"/>
              </w:rPr>
              <w:t>
(casdo:‌Difference‌CAPayment‌NAmount)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сомасының өзгерісі (casdo:DifferenceCAPaymentNAmount)" деректемесі толтырылған жағдайда  атрибут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18.19.6. Төлем құжаты </w:t>
            </w:r>
          </w:p>
          <w:p>
            <w:pPr>
              <w:spacing w:after="20"/>
              <w:ind w:left="20"/>
              <w:jc w:val="both"/>
            </w:pPr>
            <w:r>
              <w:rPr>
                <w:rFonts w:ascii="Times New Roman"/>
                <w:b w:val="false"/>
                <w:i w:val="false"/>
                <w:color w:val="000000"/>
                <w:sz w:val="20"/>
              </w:rPr>
              <w:t>
(cacdo:‌GDCPayment‌Doc‌Details)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cacdo:‌GDCPayment‌Doc‌Details‌Type (M.CA.CDT.00207)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мынадай мәндерді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Федерациясының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*.8. Төлеу күні </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міндеттерді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жүктелген кедендік немесе өзге де төлемдерді төлеу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Армения Республикасында, Беларусь Республикасында және Қырғыз Республикасында пайдаланылады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немесе қайтарылған ақша қаражатының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18.20. Төлемді төлеу бойынша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 төлеу) берілген мерзім туралы мәліметтерді көрсету үшін мына деректемелердің бірі толтырылуға тиіс: "Соңғы күн (csdo:‌End‌Date)" немесе "Төлем төлеу кезеңі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18.20.2.  Соңғы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18.20.3. Төлем төлеу кезеңі</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бөліп төлеу кезеңі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18.21. Кедендік баждар, салықтар төлеу жөніндегі міндеттердің орындалуына берілген қамтамасыз ету</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18.21.1. Кедендік баждар, салықтар төлеу жөніндегі міндеттердің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 қамтамасыз ету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төлемдердің төленуін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18.21.3. Кедендік және өзге де төлемдер төлеу жөніндегі міндеттерді орындаудың қамтамасыз ету берілгенін (қабылданғанын) растайтын құжат </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жөніндегі міндеттерді орындаудың қамтамасыз етілгенін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құжаттың тіркеу нөмірі немесе тізілімдегі тұлғаның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 мен Ресей Федерациясында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21. Тауарларға арналған декларацияға түзетуді толтыру (қол қою) үшін жауапты кеден өкілі</w:t>
            </w:r>
          </w:p>
          <w:p>
            <w:pPr>
              <w:spacing w:after="20"/>
              <w:ind w:left="20"/>
              <w:jc w:val="both"/>
            </w:pPr>
            <w:r>
              <w:rPr>
                <w:rFonts w:ascii="Times New Roman"/>
                <w:b w:val="false"/>
                <w:i w:val="false"/>
                <w:color w:val="000000"/>
                <w:sz w:val="20"/>
              </w:rPr>
              <w:t>
(cacdo:‌GDCSignatory‌Representative‌Details)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толтыру (қол қою) үшін жауапты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құжаттың тіркеу нөмірі немесе тізілімдегі тұлғаның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22. Тауарларға арналған декларацияға түзетуді толтырған (оған қол қойған) жеке тұлға</w:t>
            </w:r>
          </w:p>
          <w:p>
            <w:pPr>
              <w:spacing w:after="20"/>
              <w:ind w:left="20"/>
              <w:jc w:val="both"/>
            </w:pPr>
            <w:r>
              <w:rPr>
                <w:rFonts w:ascii="Times New Roman"/>
                <w:b w:val="false"/>
                <w:i w:val="false"/>
                <w:color w:val="000000"/>
                <w:sz w:val="20"/>
              </w:rPr>
              <w:t>
(cacdo:‌GDCSignatory‌Person‌Details)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 мен Ресей Федерациясында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23. Декларанттың немесе кеден өкілінің шығыс құжаттарын есепке алу жүйесіндегі құжатты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25. Тауарларға арналған декларацияны түзетудің қорғаныштық жапсырмасының сәйкестендіргіші </w:t>
            </w:r>
          </w:p>
          <w:p>
            <w:pPr>
              <w:spacing w:after="20"/>
              <w:ind w:left="20"/>
              <w:jc w:val="both"/>
            </w:pPr>
            <w:r>
              <w:rPr>
                <w:rFonts w:ascii="Times New Roman"/>
                <w:b w:val="false"/>
                <w:i w:val="false"/>
                <w:color w:val="000000"/>
                <w:sz w:val="20"/>
              </w:rPr>
              <w:t>
(casdo:‌GDCSecurity‌Label‌Id)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қызметін атқаратын мән-жайлардың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28. Тауарлар шығарылымының нөмірі</w:t>
            </w:r>
          </w:p>
          <w:p>
            <w:pPr>
              <w:spacing w:after="20"/>
              <w:ind w:left="20"/>
              <w:jc w:val="both"/>
            </w:pPr>
            <w:r>
              <w:rPr>
                <w:rFonts w:ascii="Times New Roman"/>
                <w:b w:val="false"/>
                <w:i w:val="false"/>
                <w:color w:val="000000"/>
                <w:sz w:val="20"/>
              </w:rPr>
              <w:t>
(cacdo:‌Goods‌Release‌Id‌Details)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28.2. Тауарлар шығарылымының тіркеу нөмірі</w:t>
            </w:r>
          </w:p>
          <w:p>
            <w:pPr>
              <w:spacing w:after="20"/>
              <w:ind w:left="20"/>
              <w:jc w:val="both"/>
            </w:pPr>
            <w:r>
              <w:rPr>
                <w:rFonts w:ascii="Times New Roman"/>
                <w:b w:val="false"/>
                <w:i w:val="false"/>
                <w:color w:val="000000"/>
                <w:sz w:val="20"/>
              </w:rPr>
              <w:t>
(cacdo:‌Release‌Id‌Details)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шығарылымының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28.2.2. Тауарлар шығарылымының тіркеу нөмірі</w:t>
            </w:r>
          </w:p>
          <w:p>
            <w:pPr>
              <w:spacing w:after="20"/>
              <w:ind w:left="20"/>
              <w:jc w:val="both"/>
            </w:pPr>
            <w:r>
              <w:rPr>
                <w:rFonts w:ascii="Times New Roman"/>
                <w:b w:val="false"/>
                <w:i w:val="false"/>
                <w:color w:val="000000"/>
                <w:sz w:val="20"/>
              </w:rPr>
              <w:t>
(casdo:‌Release‌Id)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журналы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*Егер тиісті деректемелердегі мәліметтер Одақ құқығына, мүше мемлекеттердің заңнамасына сәйкес тауарларға арналған декларацияны түзетуге жататын немесе мәліметтерді автоматтандырылған өңдеу қажет болатын жағдайда қолданылады.</w:t>
      </w:r>
    </w:p>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