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bd38" w14:textId="c1cb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16 шілдедегі № 118 шешімі</w:t>
      </w:r>
    </w:p>
    <w:p>
      <w:pPr>
        <w:spacing w:after="0"/>
        <w:ind w:left="0"/>
        <w:jc w:val="both"/>
      </w:pPr>
      <w:bookmarkStart w:name="z1" w:id="0"/>
      <w:r>
        <w:rPr>
          <w:rFonts w:ascii="Times New Roman"/>
          <w:b w:val="false"/>
          <w:i w:val="false"/>
          <w:color w:val="000000"/>
          <w:sz w:val="28"/>
        </w:rPr>
        <w:t xml:space="preserve">
      Ресей Федерациясының Еуразиялық экономикалық одақтың  ішкі нарығының жұмыс істеуі шеңберіндегі міндеттемелерін Ресей Федерациясының аумағында мемлекеттік бақылауды (қадағалауды) жүзеге асыру кезінде тамақ өніміне қойылатын Еуразиялық экономикалық одақтың техникалық регламенттерінде (Кеден одағының техникалық регламенттерінде) қамтылған талаптарға қатысты қосымша талаптар қою бөлігінде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Ресей Федерациясына Кеден одағы Комиссиясының 2011 жылғы 9 желтоқсандағы № 880 шешімімен қабылданған Кеден одағының "Тамақ өнімінің қауіпсіздігі туралы" техникалық регламентінің (КО ТР 021/2011) техникалық реттеу объектісі болып табылатын тамақ өнімін тасымалдау (тасу) процесіне қойылатын талаптар бөлігінде "Сауданы ұйымдастыруға және ондағы азық-түлік шикізаты мен  тамақ өнімдерінің айналысына қойылатын санитариялық-эпидемиологиялық талаптар" СҚ 2.3.6.1066-01 санитариялық талаптарын қолдану кезінде 2014 жылғы 29 мамырдағы Еуразиялық экономикалық одақ туралы шарттың 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орындау қажеттігі туралы хабарлама білдірілсін.</w:t>
      </w:r>
    </w:p>
    <w:bookmarkEnd w:id="1"/>
    <w:bookmarkStart w:name="z3" w:id="2"/>
    <w:p>
      <w:pPr>
        <w:spacing w:after="0"/>
        <w:ind w:left="0"/>
        <w:jc w:val="both"/>
      </w:pPr>
      <w:r>
        <w:rPr>
          <w:rFonts w:ascii="Times New Roman"/>
          <w:b w:val="false"/>
          <w:i w:val="false"/>
          <w:color w:val="000000"/>
          <w:sz w:val="28"/>
        </w:rPr>
        <w:t>
      2. Ресей Федерациясының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