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0d08" w14:textId="8340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Сотына жүгінген кезде шаруашылық жүргізуші субъектілер төлейтін баж мөлшерін бекіту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17 шешімі</w:t>
      </w:r>
    </w:p>
    <w:p>
      <w:pPr>
        <w:spacing w:after="0"/>
        <w:ind w:left="0"/>
        <w:jc w:val="left"/>
      </w:pPr>
    </w:p>
    <w:bookmarkStart w:name="z1" w:id="0"/>
    <w:p>
      <w:pPr>
        <w:spacing w:after="0"/>
        <w:ind w:left="0"/>
        <w:jc w:val="both"/>
      </w:pPr>
      <w:r>
        <w:rPr>
          <w:rFonts w:ascii="Times New Roman"/>
          <w:b w:val="false"/>
          <w:i w:val="false"/>
          <w:color w:val="000000"/>
          <w:sz w:val="28"/>
        </w:rPr>
        <w:t>
      Жоғары Еуразиялық экономикалық кеңестің 2014 жылғы 10 қазандағы № 85 шешімінің 2-тармағына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1. Еуразиялық экономикалық одақ Сотына жүгінген кезде шаруашылық жүргізуші субъектілер төлейтін баж мөлшері Еуразиялық экономикалық одақтың 2020 жылға арналған бюджеті жобасын әзірлеу кезінде болжанып отырған 3,0 пайызды құрайтын тұтыну бағаларының өсуі индексіне сәйкес 2020 жылға 46 139 Ресей рублі мөлшерінде бекітілсін.</w:t>
      </w:r>
    </w:p>
    <w:bookmarkEnd w:id="1"/>
    <w:bookmarkStart w:name="z3" w:id="2"/>
    <w:p>
      <w:pPr>
        <w:spacing w:after="0"/>
        <w:ind w:left="0"/>
        <w:jc w:val="both"/>
      </w:pPr>
      <w:r>
        <w:rPr>
          <w:rFonts w:ascii="Times New Roman"/>
          <w:b w:val="false"/>
          <w:i w:val="false"/>
          <w:color w:val="000000"/>
          <w:sz w:val="28"/>
        </w:rPr>
        <w:t>
      2. Осы Шешім 2020 жылғы 1 қаңтардан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