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03a8" w14:textId="5630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электр қозғалтқыштары бар доңғалақты көлік құралдарын жасауды және пайдалануды ынталандыруды қамтамасыз ету жөніндегі 2018-2020 жылдарға арналған іс-шаралар жоспары туралы</w:t>
      </w:r>
    </w:p>
    <w:p>
      <w:pPr>
        <w:spacing w:after="0"/>
        <w:ind w:left="0"/>
        <w:jc w:val="both"/>
      </w:pPr>
      <w:r>
        <w:rPr>
          <w:rFonts w:ascii="Times New Roman"/>
          <w:b w:val="false"/>
          <w:i w:val="false"/>
          <w:color w:val="000000"/>
          <w:sz w:val="28"/>
        </w:rPr>
        <w:t>Еуразиялық Үкіметаралық Кеңестің 2018 жылғы 27 қарашадағы № 23 Өкімі</w:t>
      </w:r>
    </w:p>
    <w:p>
      <w:pPr>
        <w:spacing w:after="0"/>
        <w:ind w:left="0"/>
        <w:jc w:val="both"/>
      </w:pPr>
      <w:bookmarkStart w:name="z1" w:id="0"/>
      <w:r>
        <w:rPr>
          <w:rFonts w:ascii="Times New Roman"/>
          <w:b w:val="false"/>
          <w:i w:val="false"/>
          <w:color w:val="000000"/>
          <w:sz w:val="28"/>
        </w:rPr>
        <w:t xml:space="preserve">
      1. Қоса беріліп отырған Еуразиялық экономикалық одаққа мүше мемлекеттерде электр қозғалтқыштары бар доңғалақты көлік құралдарын жасауды және пайдалануды ынталандыруды қамтамасыз ету жөніндегі 2018 – 2020 жылдарға арналған </w:t>
      </w:r>
      <w:r>
        <w:rPr>
          <w:rFonts w:ascii="Times New Roman"/>
          <w:b w:val="false"/>
          <w:i w:val="false"/>
          <w:color w:val="000000"/>
          <w:sz w:val="28"/>
        </w:rPr>
        <w:t>іс-шаралар жоспары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Еуразиялық экономикалық комиссия Армения Республикасының Үкіметімен, Беларусь Республикасының Үкіметімен, Қазақстан Республикасының Үкіметімен,  Қырғыз Республикасының Үкіметімен және Ресей Федерациясының Үкіметімен бірлесіп, осы Өкіммен бекітілген жоспарда көзделген іс-шараларды пысықтасын және  мүмкіншілігне қарай іске асыруды қамтамасыз етсін.</w:t>
      </w:r>
    </w:p>
    <w:bookmarkEnd w:id="1"/>
    <w:bookmarkStart w:name="z3" w:id="2"/>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 2018 жылғы 27</w:t>
            </w:r>
            <w:r>
              <w:br/>
            </w:r>
            <w:r>
              <w:rPr>
                <w:rFonts w:ascii="Times New Roman"/>
                <w:b w:val="false"/>
                <w:i w:val="false"/>
                <w:color w:val="000000"/>
                <w:sz w:val="20"/>
              </w:rPr>
              <w:t>қарашадағы №23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мемлекеттерде электр қозғалтқыштары бар доңғалақты көлік құралдарын жасауды  және пайдалануды ынталандыруды қамтамасыз ету жөніндегі 2018 – 2020 жылдарға арналған іс-шаралар</w:t>
      </w:r>
      <w:r>
        <w:br/>
      </w:r>
      <w:r>
        <w:rPr>
          <w:rFonts w:ascii="Times New Roman"/>
          <w:b/>
          <w:i w:val="false"/>
          <w:color w:val="000000"/>
        </w:rPr>
        <w:t xml:space="preserve"> ЖОСПАРЫ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Еуразиялық экономикалық одаққа мүше мемлекеттерде электр қозғалтқыштары арқылы ғана қозғалысқа келтірілетін  доңғалақты көлік құралдарын (бұдан әрі -  электр қозғалтқыштары бар доңғалақты көлік құралдары), олардың жинақтауыштарын, сондай-ақ зарядтау және сервистік инфрақұрылым объектілерін жасауды ынталандыруды қамтамасыз ету жөніндегі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мемлекеттерде (бұдан әрі  тиісінше – мүше мемлекеттер, Одақ) электр қозғалтқыштары бар доңғалақты  көлік құралдарын, олардың жинақтауыштарын, сондай-ақ зарядтау және сервистік инфрақұрылым объектілерін жасауды қолдау  шаралары жүйесін жетілдіру және іске асыру, соның ішінде  көзделетіндер: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 ұсынуды, электр қозғалтқыштары бар доңғалақты  көлік құралдарын, олардың жинақтауыштарын,  оларды жасауға арналған жабдықтарды,  зарядтау және сервистік инфрақұрылым объектілерін  қоса алғандағы  іріктеу мен субсидиялау, сондай-ақ  тиісті  ҒЗТКЖ қаржыландыру</w:t>
            </w:r>
          </w:p>
          <w:p>
            <w:pPr>
              <w:spacing w:after="20"/>
              <w:ind w:left="20"/>
              <w:jc w:val="both"/>
            </w:pPr>
            <w:r>
              <w:rPr>
                <w:rFonts w:ascii="Times New Roman"/>
                <w:b w:val="false"/>
                <w:i w:val="false"/>
                <w:color w:val="000000"/>
                <w:sz w:val="20"/>
              </w:rPr>
              <w:t>
электр қозғалтқыштары бар доңғалақты  көлік құралдарының  түбегейлі құрамдастарының, олардың  өндірісі кезінде, сондай-ақ  зарядтау және сервистік инфрақұрылым объектілерін жасау кезінде пайдаланылатын технологиялық операциялардың тізбесін қалыптастыру</w:t>
            </w:r>
          </w:p>
          <w:p>
            <w:pPr>
              <w:spacing w:after="20"/>
              <w:ind w:left="20"/>
              <w:jc w:val="both"/>
            </w:pPr>
            <w:r>
              <w:rPr>
                <w:rFonts w:ascii="Times New Roman"/>
                <w:b w:val="false"/>
                <w:i w:val="false"/>
                <w:color w:val="000000"/>
                <w:sz w:val="20"/>
              </w:rPr>
              <w:t>
электр қозғалтқыштары бар доңғалақты  көлік құралдарының  түбегейлі құрамдастарын жасауды және олардың  өндірісі кезінде пайдаланылатын технологиялық операцияларды әзірлеуді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актілері</w:t>
            </w:r>
          </w:p>
          <w:p>
            <w:pPr>
              <w:spacing w:after="20"/>
              <w:ind w:left="20"/>
              <w:jc w:val="both"/>
            </w:pPr>
            <w:r>
              <w:rPr>
                <w:rFonts w:ascii="Times New Roman"/>
                <w:b w:val="false"/>
                <w:i w:val="false"/>
                <w:color w:val="000000"/>
                <w:sz w:val="20"/>
              </w:rPr>
              <w:t>
түбегейлі құрамдастардың және технологиялық операциялардың тізбесі</w:t>
            </w:r>
          </w:p>
          <w:p>
            <w:pPr>
              <w:spacing w:after="20"/>
              <w:ind w:left="20"/>
              <w:jc w:val="both"/>
            </w:pPr>
            <w:r>
              <w:rPr>
                <w:rFonts w:ascii="Times New Roman"/>
                <w:b w:val="false"/>
                <w:i w:val="false"/>
                <w:color w:val="000000"/>
                <w:sz w:val="20"/>
              </w:rPr>
              <w:t>
мүше мемлекеттердің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2018-2020 жылдар</w:t>
            </w:r>
          </w:p>
          <w:p>
            <w:pPr>
              <w:spacing w:after="20"/>
              <w:ind w:left="20"/>
              <w:jc w:val="both"/>
            </w:pPr>
            <w:r>
              <w:rPr>
                <w:rFonts w:ascii="Times New Roman"/>
                <w:b w:val="false"/>
                <w:i w:val="false"/>
                <w:color w:val="000000"/>
                <w:sz w:val="20"/>
              </w:rPr>
              <w:t>
2018-2019 жылдар</w:t>
            </w:r>
          </w:p>
          <w:p>
            <w:pPr>
              <w:spacing w:after="20"/>
              <w:ind w:left="20"/>
              <w:jc w:val="both"/>
            </w:pPr>
            <w:r>
              <w:rPr>
                <w:rFonts w:ascii="Times New Roman"/>
                <w:b w:val="false"/>
                <w:i w:val="false"/>
                <w:color w:val="000000"/>
                <w:sz w:val="20"/>
              </w:rPr>
              <w:t>
2019-2020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үкіметтері (қаржыландыру көздері бар болған кезде)</w:t>
            </w:r>
          </w:p>
          <w:p>
            <w:pPr>
              <w:spacing w:after="20"/>
              <w:ind w:left="20"/>
              <w:jc w:val="both"/>
            </w:pPr>
            <w:r>
              <w:rPr>
                <w:rFonts w:ascii="Times New Roman"/>
                <w:b w:val="false"/>
                <w:i w:val="false"/>
                <w:color w:val="000000"/>
                <w:sz w:val="20"/>
              </w:rPr>
              <w:t>
мүше мемлекеттердің үкіметтері</w:t>
            </w:r>
          </w:p>
          <w:p>
            <w:pPr>
              <w:spacing w:after="20"/>
              <w:ind w:left="20"/>
              <w:jc w:val="both"/>
            </w:pPr>
            <w:r>
              <w:rPr>
                <w:rFonts w:ascii="Times New Roman"/>
                <w:b w:val="false"/>
                <w:i w:val="false"/>
                <w:color w:val="000000"/>
                <w:sz w:val="20"/>
              </w:rPr>
              <w:t>
мүше мемлекеттердің үкіметтері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мемлекеттерде жасалмайтын,  электр қозғалтқыштары бар доңғалақты көлік құралдарын жасау үшін арналып қойылған  жинақтауыштардың жекелеген түрлеріне, зарядтау және сервистік инфрақұрылым объектілеріне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өзгерістер енгізу туралы ұсыныстарды Еуразиялық экономикалық комиссияның (бұдан әрі – Комиссия) қарауы үшін дайындау және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ұсыныстары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қозғалтқыштары бар  доңғалақты  көлік құралдарын  және олардың жинақтауыштарын жасаушы -  кәсіпорындардың кооперациялық тізбегінің, сондай-ақ олар өндіретін өнімнің тізбесін қалыптастыру</w:t>
            </w:r>
          </w:p>
          <w:p>
            <w:pPr>
              <w:spacing w:after="20"/>
              <w:ind w:left="20"/>
              <w:jc w:val="both"/>
            </w:pPr>
            <w:r>
              <w:rPr>
                <w:rFonts w:ascii="Times New Roman"/>
                <w:b w:val="false"/>
                <w:i w:val="false"/>
                <w:color w:val="000000"/>
                <w:sz w:val="20"/>
              </w:rPr>
              <w:t>
4. Электр қозғалтқыштары бар  доңғалақты  көлік құралдарын,  олардың жинақтауыштары мен зарядтау  инфрақұрылымы объектілерін пайдаланумен байланысты техникалық реттеу объектілеріне қойылатын қауіпсіздік талаптарын өзекті ету (жаңаларын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ақпараты</w:t>
            </w:r>
          </w:p>
          <w:p>
            <w:pPr>
              <w:spacing w:after="20"/>
              <w:ind w:left="20"/>
              <w:jc w:val="both"/>
            </w:pPr>
            <w:r>
              <w:rPr>
                <w:rFonts w:ascii="Times New Roman"/>
                <w:b w:val="false"/>
                <w:i w:val="false"/>
                <w:color w:val="000000"/>
                <w:sz w:val="20"/>
              </w:rPr>
              <w:t>
Комиссия Кеңесінің  Одақ органдарының техникалық реттеу саласындағы  кейбір актілеріне өзгеріс енгізу туралы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2019 – 2020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үкіметтері,</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үкіметтері,</w:t>
            </w:r>
          </w:p>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Мүше мемлекеттерде электр қозғалтқыштары бар  доңғалақты көлік құралдарын пайдалануды ынталандыруды қамтамасыз ету жөніндегі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Мүше мемлекеттерде  электр қозғалтқыштары бар доңғалақты  көлік құралдарын пайдалануды ынталандыру жөніндегі  шаралар жүйесін  жетілдіру және іске асыру, соның ішінде  көзделетіндер:</w:t>
            </w:r>
          </w:p>
          <w:p>
            <w:pPr>
              <w:spacing w:after="20"/>
              <w:ind w:left="20"/>
              <w:jc w:val="both"/>
            </w:pPr>
            <w:r>
              <w:rPr>
                <w:rFonts w:ascii="Times New Roman"/>
                <w:b w:val="false"/>
                <w:i w:val="false"/>
                <w:color w:val="000000"/>
                <w:sz w:val="20"/>
              </w:rPr>
              <w:t>
электр қозғалтқыштары бар доңғалақты  көлік құралдарының иелерін көлік салығын төлеуден босату</w:t>
            </w:r>
          </w:p>
          <w:p>
            <w:pPr>
              <w:spacing w:after="20"/>
              <w:ind w:left="20"/>
              <w:jc w:val="both"/>
            </w:pPr>
            <w:r>
              <w:rPr>
                <w:rFonts w:ascii="Times New Roman"/>
                <w:b w:val="false"/>
                <w:i w:val="false"/>
                <w:color w:val="000000"/>
                <w:sz w:val="20"/>
              </w:rPr>
              <w:t>
электр қозғалтқыштары бар доңғалақты  көлік құралдарының иелеріне зарядтау құрылғыларымен жарақталған тегін көлік қоятын орындарды пайдалану құқығын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үкіметтері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доңғалақты  көлік құралдары үшін ақылы автомобиль жолдары бойынша тегін жүру құқығын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доңғалақты көлік құралдарына қоғамдық көлікке арналған жолақ арқылы жүріп өту құқығын беру</w:t>
            </w:r>
          </w:p>
          <w:p>
            <w:pPr>
              <w:spacing w:after="20"/>
              <w:ind w:left="20"/>
              <w:jc w:val="both"/>
            </w:pPr>
            <w:r>
              <w:rPr>
                <w:rFonts w:ascii="Times New Roman"/>
                <w:b w:val="false"/>
                <w:i w:val="false"/>
                <w:color w:val="000000"/>
                <w:sz w:val="20"/>
              </w:rPr>
              <w:t>
автожанармай құю станцияларын, сондай-ақ пайдалануға берілетін ғимараттар мен қоғамдық мақсаттағы құрылыстарды электр қозғалтқыштары бар  доңғалақты  көлік құралдарына арналған зарядтау құрылғыларымен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тартқышты батареяларды жинау, сақтау және кәдеге жарату жөніндегі  инфрақұрылымды дамыту</w:t>
            </w:r>
          </w:p>
          <w:p>
            <w:pPr>
              <w:spacing w:after="20"/>
              <w:ind w:left="20"/>
              <w:jc w:val="both"/>
            </w:pPr>
            <w:r>
              <w:rPr>
                <w:rFonts w:ascii="Times New Roman"/>
                <w:b w:val="false"/>
                <w:i w:val="false"/>
                <w:color w:val="000000"/>
                <w:sz w:val="20"/>
              </w:rPr>
              <w:t xml:space="preserve">
лизинг ұйымдарының лизинг алушыларға электр қозғалтқыштары бар доңғалақты  көлік құралдары сатып алған кезде  шегермелер ұсынуы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Өз аумағында электр қозғалтқыштары бар  доңғалақты көлік құралдарына арналған зарядтау және сервистік инфрақұрылым объектілерін орналастыратын ұйымдар үшін жеңілдіктер жүйесін жетілдіру және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үкіметтері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 қозғалтқыштары бар  доңғалақты көлік құралдарына арналған зарядтау және сервистік инфрақұрылым объектілерін салу, сондай-ақ оларды электр желілеріне қосу кезінде рұқсат беру құжаттамасын ресімдеудің оңайлатылған тәртібі жөніндегі 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үкіметтері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мемлекеттердің уәкілетті органдары арасында  электр қозғалтқыштары бар  доңғалақты көлік құралдарын,   олардың жинақтауыштарын, сондай-ақ зарядтау және сервистік инфрақұрылым объектілерін жасау туралы ақпарат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ақпараты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2018 – 2020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уәкілетті органдары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