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d0a6" w14:textId="01cd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2018 жылғы 27 шілдедегі № 11 Өкімі</w:t>
      </w:r>
    </w:p>
    <w:p>
      <w:pPr>
        <w:spacing w:after="0"/>
        <w:ind w:left="0"/>
        <w:jc w:val="both"/>
      </w:pPr>
      <w:bookmarkStart w:name="z1" w:id="0"/>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54-тармағы,  Еуразиялық экономикалық комиссия туралы ереженің (2014 жылғы 29 мамырдағы Еуразиялық  экономикалық одақ туралы шартқа № 1 қосымша) 43-тармағы 4-тармақшасы негізінде, Еуразиялық экономикалық комиссияның 2017 жылғы Еуразиялық экономикалық одаққа мүше мемлекеттердің бюджеттері арасында кедендік әкелу баждарының  сомаларын  есепке жатқызу және бөлу туралы ақпаратын ескере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іске асыру мониторингі бойынша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