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7668" w14:textId="07a7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нтақты сым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1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Флюсті материалдардың ұнтақ тәрізді қоспасы болып табылатын ұнтақты өзекшелі жұқа қабырғалы ұзын түтікше түріндегі қара металдан жасалған қабықшадан тұратын, берілген пайдалану параметрлеріне сәйкес сапалы жіктерге қол жеткізу үшін дәнекерлеу жұмыстары кезінде қолданылатын үздіксіз электродты білдіретін ұнтақты сым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311 20 000 0 қосалқы позициясында сыныпталады.</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