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eb92" w14:textId="d39e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Электродтардың жекелеген түрлеріне қатысты Еуразиялық экономикалық одақтың Бірыңғай кедендік тарифінің кедендік әкелу бажының ставкасын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20 қарашадағы № 187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ЕАЭО СЭҚ ТН 8545 11 008 9 кодымен сыныпталатын электродтардың жекелеген түрлеріне қатысты Еуразиялық экономикалық одақтың Бірыңғай  кедендік тарифінің (Еуразиялық экономикалық комиссия Кеңесінің 2012 жылғы 16 шілдедегі №54 шешіміне қосымша) кедендік әкелу бажының ставкасы осы Шешім күшіне енген күннен бастап қоса алғанда 2019 жылғы 31 желтоқсанға дейінгі аралықта кедендік құннан 0 пайыз мөлшерінде белгіленсін.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одақтың Бірыңғай  кедендік тарифіне (Еуразиялық экономикалық комиссия Кеңесінің 2012 жылғы 16 шілдедегі №54 шешіміне қосымша)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ЕАЭО СЭҚ ТН 8545 11 008 9 коды бар позициясы төртінші графада "</w:t>
      </w:r>
      <w:r>
        <w:rPr>
          <w:rFonts w:ascii="Times New Roman"/>
          <w:b w:val="false"/>
          <w:i w:val="false"/>
          <w:color w:val="000000"/>
          <w:vertAlign w:val="superscript"/>
        </w:rPr>
        <w:t>32С)</w:t>
      </w:r>
      <w:r>
        <w:rPr>
          <w:rFonts w:ascii="Times New Roman"/>
          <w:b w:val="false"/>
          <w:i w:val="false"/>
          <w:color w:val="000000"/>
          <w:sz w:val="28"/>
        </w:rPr>
        <w:t>" ескертпесіне сілтемемен толықтырылсын;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Еуразиялық экономикалық одақтың Бірыңғай  кедендік тарифіне ескертпелер мынадай мазмұндағы 32С ескертпесімен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32С)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құннан 0 (нөл) % мөлшеріндегі кедендік әкелу бажының ставкасы Еуразиялық экономикалық комиссия Алқасының 2018 жылғы 20 қарашадағы №187 шешімі күшіне енген күннен бастап қоса алғанда 31.12.2019 дейінгі аралықта қолданылады.".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3.Осы Шешім ресми жарияланған күнінен бастап күнтізбелік 30 күн өткен соң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