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c0fc" w14:textId="0c4c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қолдану нәтижесінде Кеден одағының "Парфюмериялық-косметикалық өнімнің қауіпсіздігі туралы" техникалық регламентінің (КО ТР 009/2011) сақталуы қамтамасыз етілетін мемлекетаралық стандарттарды, сондай-ақ зерттеулердің (сынақтардың) және өлшемдердің ережелері мен әдістерін, соның ішінде Кеден одағының "Парфюмериялық-косметикалық өнімнің қауіпсіздігі туралы" техникалық регламентінің (КО ТР 009/2011)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мемлекетаралық стандарттарды әзірлеу (өзгерістер енгізу, қайта қарау) жөніндегі бағдарламаға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24 шілдедегі № 117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1-бабының</w:t>
      </w:r>
      <w:r>
        <w:rPr>
          <w:rFonts w:ascii="Times New Roman"/>
          <w:b w:val="false"/>
          <w:i w:val="false"/>
          <w:color w:val="000000"/>
          <w:sz w:val="28"/>
        </w:rPr>
        <w:t xml:space="preserve"> 11 және 12-тармақтарына және Жоғары Еуразиялық экономикалық кеңестің 2014 жылғы 23 желтоқсандағы № 98 шешімімен бекітілген Еуразиялық экономикалық комиссия Жұмыс регламентіне № 2 қосымшаның 7-тармағына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Қосымшаға сәйкес Еуразиялық экономикалық комиссия Алқасының 2012 жылғы 27 қарашадағы № 237 шешімімен бекітілген Ерікті негізде қолдану нәтижесінде Кеден одағының "Парфюмериялық-косметикалық өнімнің қауіпсіздігі туралы" техникалық регламентінің  (КО ТР 009/2011) сақталуы қамтамасыз етілетін мемлекетаралық стандарттарды, сондай-ақ зерттеулердің (сынақтардың) және өлшемдердің ережелері мен әдістерін, соның ішінде Кеден одағының  "Парфюмериялық-косметикалық өнімнің қауіпсіздігі туралы" техникалық регламентінің (КО ТР 009/2011)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мемлекетаралық стандарттарды әзірлеу (өзгерістер енгізу, қайта қарау) жөніндегі бағдарламаға өзгерістер енгізілсін.</w:t>
      </w:r>
    </w:p>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24 шілдедегі</w:t>
            </w:r>
            <w:r>
              <w:br/>
            </w:r>
            <w:r>
              <w:rPr>
                <w:rFonts w:ascii="Times New Roman"/>
                <w:b w:val="false"/>
                <w:i w:val="false"/>
                <w:color w:val="000000"/>
                <w:sz w:val="20"/>
              </w:rPr>
              <w:t>№ 117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Ерікті негізде қолдану нәтижесінде Кеден одағының "Парфюмериялық-косметикалық өнімнің қауіпсіздігі туралы" техникалық регламентінің (КО ТР 009/2011) сақталуы қамтамасыз етілетін мемлекетаралық стандарттарды, сондай-ақ зерттеулердің (сынақтардың) және өлшемдердің ережелері мен әдістерін, соның ішінде Кеден одағының "Парфюмериялық-косметикалық өнімнің қауіпсіздігі туралы" техникалық регламентінің (КО ТР 009/2011)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мемлекетаралық стандарттарды әзірлеу (өзгерістер енгізу, қайта қарау) жөніндегі бағдарламаға енгізілетін өзгерістер</w:t>
      </w:r>
    </w:p>
    <w:bookmarkStart w:name="z6" w:id="2"/>
    <w:p>
      <w:pPr>
        <w:spacing w:after="0"/>
        <w:ind w:left="0"/>
        <w:jc w:val="both"/>
      </w:pPr>
      <w:r>
        <w:rPr>
          <w:rFonts w:ascii="Times New Roman"/>
          <w:b w:val="false"/>
          <w:i w:val="false"/>
          <w:color w:val="000000"/>
          <w:sz w:val="28"/>
        </w:rPr>
        <w:t>
      1. "МТК 529" және "МТК 530" деген белгілер алып тасталсын.</w:t>
      </w:r>
    </w:p>
    <w:bookmarkEnd w:id="2"/>
    <w:bookmarkStart w:name="z7" w:id="3"/>
    <w:p>
      <w:pPr>
        <w:spacing w:after="0"/>
        <w:ind w:left="0"/>
        <w:jc w:val="both"/>
      </w:pPr>
      <w:r>
        <w:rPr>
          <w:rFonts w:ascii="Times New Roman"/>
          <w:b w:val="false"/>
          <w:i w:val="false"/>
          <w:color w:val="000000"/>
          <w:sz w:val="28"/>
        </w:rPr>
        <w:t>
      2. 41</w:t>
      </w:r>
      <w:r>
        <w:rPr>
          <w:rFonts w:ascii="Times New Roman"/>
          <w:b w:val="false"/>
          <w:i w:val="false"/>
          <w:color w:val="000000"/>
          <w:vertAlign w:val="superscript"/>
        </w:rPr>
        <w:t>38</w:t>
      </w:r>
      <w:r>
        <w:rPr>
          <w:rFonts w:ascii="Times New Roman"/>
          <w:b w:val="false"/>
          <w:i w:val="false"/>
          <w:color w:val="000000"/>
          <w:sz w:val="28"/>
        </w:rPr>
        <w:t> – 41</w:t>
      </w:r>
      <w:r>
        <w:rPr>
          <w:rFonts w:ascii="Times New Roman"/>
          <w:b w:val="false"/>
          <w:i w:val="false"/>
          <w:color w:val="000000"/>
          <w:vertAlign w:val="superscript"/>
        </w:rPr>
        <w:t>49</w:t>
      </w:r>
      <w:r>
        <w:rPr>
          <w:rFonts w:ascii="Times New Roman"/>
          <w:b w:val="false"/>
          <w:i w:val="false"/>
          <w:color w:val="000000"/>
          <w:sz w:val="28"/>
        </w:rPr>
        <w:t>, 41</w:t>
      </w:r>
      <w:r>
        <w:rPr>
          <w:rFonts w:ascii="Times New Roman"/>
          <w:b w:val="false"/>
          <w:i w:val="false"/>
          <w:color w:val="000000"/>
          <w:vertAlign w:val="superscript"/>
        </w:rPr>
        <w:t>56</w:t>
      </w:r>
      <w:r>
        <w:rPr>
          <w:rFonts w:ascii="Times New Roman"/>
          <w:b w:val="false"/>
          <w:i w:val="false"/>
          <w:color w:val="000000"/>
          <w:sz w:val="28"/>
        </w:rPr>
        <w:t> – 41</w:t>
      </w:r>
      <w:r>
        <w:rPr>
          <w:rFonts w:ascii="Times New Roman"/>
          <w:b w:val="false"/>
          <w:i w:val="false"/>
          <w:color w:val="000000"/>
          <w:vertAlign w:val="superscript"/>
        </w:rPr>
        <w:t>61</w:t>
      </w:r>
      <w:r>
        <w:rPr>
          <w:rFonts w:ascii="Times New Roman"/>
          <w:b w:val="false"/>
          <w:i w:val="false"/>
          <w:color w:val="000000"/>
          <w:sz w:val="28"/>
        </w:rPr>
        <w:t> және 41</w:t>
      </w:r>
      <w:r>
        <w:rPr>
          <w:rFonts w:ascii="Times New Roman"/>
          <w:b w:val="false"/>
          <w:i w:val="false"/>
          <w:color w:val="000000"/>
          <w:vertAlign w:val="superscript"/>
        </w:rPr>
        <w:t>67</w:t>
      </w:r>
      <w:r>
        <w:rPr>
          <w:rFonts w:ascii="Times New Roman"/>
          <w:b w:val="false"/>
          <w:i w:val="false"/>
          <w:color w:val="000000"/>
          <w:sz w:val="28"/>
        </w:rPr>
        <w:t> позицияларда 5-бағандағы "2018" деген цифрлар "2019" деген цифрлармен, 6-бағандағы "2019" деген цифрлар "2020" деген цифрлармен ауыстырылсын.</w:t>
      </w:r>
    </w:p>
    <w:bookmarkEnd w:id="3"/>
    <w:bookmarkStart w:name="z8" w:id="4"/>
    <w:p>
      <w:pPr>
        <w:spacing w:after="0"/>
        <w:ind w:left="0"/>
        <w:jc w:val="both"/>
      </w:pPr>
      <w:r>
        <w:rPr>
          <w:rFonts w:ascii="Times New Roman"/>
          <w:b w:val="false"/>
          <w:i w:val="false"/>
          <w:color w:val="000000"/>
          <w:sz w:val="28"/>
        </w:rPr>
        <w:t>
      3. Мынадай мазмұндағы 48 – 61 позициялармен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арфюмер</w:t>
            </w:r>
            <w:r>
              <w:rPr>
                <w:rFonts w:ascii="Times New Roman"/>
                <w:b/>
                <w:i w:val="false"/>
                <w:color w:val="000000"/>
                <w:sz w:val="20"/>
              </w:rPr>
              <w:t>иялық-</w:t>
            </w:r>
            <w:r>
              <w:rPr>
                <w:rFonts w:ascii="Times New Roman"/>
                <w:b/>
                <w:i w:val="false"/>
                <w:color w:val="000000"/>
                <w:sz w:val="20"/>
              </w:rPr>
              <w:t>космети</w:t>
            </w:r>
            <w:r>
              <w:rPr>
                <w:rFonts w:ascii="Times New Roman"/>
                <w:b/>
                <w:i w:val="false"/>
                <w:color w:val="000000"/>
                <w:sz w:val="20"/>
              </w:rPr>
              <w:t>калық өнім</w:t>
            </w:r>
            <w:r>
              <w:rPr>
                <w:rFonts w:ascii="Times New Roman"/>
                <w:b/>
                <w:i w:val="false"/>
                <w:color w:val="000000"/>
                <w:sz w:val="20"/>
              </w:rPr>
              <w:t>. Термин</w:t>
            </w:r>
            <w:r>
              <w:rPr>
                <w:rFonts w:ascii="Times New Roman"/>
                <w:b/>
                <w:i w:val="false"/>
                <w:color w:val="000000"/>
                <w:sz w:val="20"/>
              </w:rPr>
              <w:t>дер мен анықтамалар</w:t>
            </w:r>
            <w:r>
              <w:rPr>
                <w:rFonts w:ascii="Times New Roman"/>
                <w:b/>
                <w:i w:val="false"/>
                <w:color w:val="000000"/>
                <w:sz w:val="20"/>
              </w:rPr>
              <w:t xml:space="preserve">. 32048-2013 </w:t>
            </w:r>
            <w:r>
              <w:rPr>
                <w:rFonts w:ascii="Times New Roman"/>
                <w:b/>
                <w:i w:val="false"/>
                <w:color w:val="000000"/>
                <w:sz w:val="20"/>
              </w:rPr>
              <w:t>МемСТ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w:t>
            </w:r>
            <w:r>
              <w:rPr>
                <w:rFonts w:ascii="Times New Roman"/>
                <w:b/>
                <w:i w:val="false"/>
                <w:color w:val="000000"/>
                <w:sz w:val="20"/>
              </w:rPr>
              <w:t>сы</w:t>
            </w:r>
            <w:r>
              <w:rPr>
                <w:rFonts w:ascii="Times New Roman"/>
                <w:b w:val="false"/>
                <w:i w:val="false"/>
                <w:color w:val="000000"/>
                <w:sz w:val="20"/>
              </w:rPr>
              <w:t xml:space="preserv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Мәлімделген тұтыну қасиеттері бөлігінде тұтынушыға арналған ақпараттың негізділігінің жалпы критерийлері. 33488-2015 МемСТ-ға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71.100.70 </w:t>
            </w:r>
          </w:p>
          <w:p>
            <w:pPr>
              <w:spacing w:after="20"/>
              <w:ind w:left="20"/>
              <w:jc w:val="both"/>
            </w:pPr>
            <w:r>
              <w:rPr>
                <w:rFonts w:ascii="Times New Roman"/>
                <w:b w:val="false"/>
                <w:i w:val="false"/>
                <w:color w:val="000000"/>
                <w:sz w:val="20"/>
              </w:rPr>
              <w:t>07.100.40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Парфюмериялық-косметикалық өнім. Микробиология. Микробиологиялық тәуекелі төмен өнімнің тәуекелін бағалау және оны сәйкестендіру жөніндегі басшылық нұсқаулар. ISO 29621:2017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4 және </w:t>
            </w:r>
          </w:p>
          <w:p>
            <w:pPr>
              <w:spacing w:after="20"/>
              <w:ind w:left="20"/>
              <w:jc w:val="both"/>
            </w:pPr>
            <w:r>
              <w:rPr>
                <w:rFonts w:ascii="Times New Roman"/>
                <w:b w:val="false"/>
                <w:i w:val="false"/>
                <w:color w:val="000000"/>
                <w:sz w:val="20"/>
              </w:rPr>
              <w:t>
7-тармақтары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p>
            <w:pPr>
              <w:spacing w:after="20"/>
              <w:ind w:left="20"/>
              <w:jc w:val="both"/>
            </w:pPr>
            <w:r>
              <w:rPr>
                <w:rFonts w:ascii="Times New Roman"/>
                <w:b w:val="false"/>
                <w:i w:val="false"/>
                <w:color w:val="000000"/>
                <w:sz w:val="20"/>
              </w:rPr>
              <w:t>07.100.40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Парфюмериялық-косметикалық өнім. Микробиология. Ашытқылар мен зең саңырауқұлақтарын есептеу. ISO 16212:2017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4 және </w:t>
            </w:r>
          </w:p>
          <w:p>
            <w:pPr>
              <w:spacing w:after="20"/>
              <w:ind w:left="20"/>
              <w:jc w:val="both"/>
            </w:pPr>
            <w:r>
              <w:rPr>
                <w:rFonts w:ascii="Times New Roman"/>
                <w:b w:val="false"/>
                <w:i w:val="false"/>
                <w:color w:val="000000"/>
                <w:sz w:val="20"/>
              </w:rPr>
              <w:t>
7-тармақтары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71.100.70 </w:t>
            </w:r>
          </w:p>
          <w:p>
            <w:pPr>
              <w:spacing w:after="20"/>
              <w:ind w:left="20"/>
              <w:jc w:val="both"/>
            </w:pPr>
            <w:r>
              <w:rPr>
                <w:rFonts w:ascii="Times New Roman"/>
                <w:b w:val="false"/>
                <w:i w:val="false"/>
                <w:color w:val="000000"/>
                <w:sz w:val="20"/>
              </w:rPr>
              <w:t>07.100.40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Микробиология. Спецификалық және спецификалық емес микроорганизмдерді табу. 0ISO 18415:2017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4 және </w:t>
            </w:r>
          </w:p>
          <w:p>
            <w:pPr>
              <w:spacing w:after="20"/>
              <w:ind w:left="20"/>
              <w:jc w:val="both"/>
            </w:pPr>
            <w:r>
              <w:rPr>
                <w:rFonts w:ascii="Times New Roman"/>
                <w:b w:val="false"/>
                <w:i w:val="false"/>
                <w:color w:val="000000"/>
                <w:sz w:val="20"/>
              </w:rPr>
              <w:t>
7-тармақтары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p>
            <w:pPr>
              <w:spacing w:after="20"/>
              <w:ind w:left="20"/>
              <w:jc w:val="both"/>
            </w:pPr>
            <w:r>
              <w:rPr>
                <w:rFonts w:ascii="Times New Roman"/>
                <w:b w:val="false"/>
                <w:i w:val="false"/>
                <w:color w:val="000000"/>
                <w:sz w:val="20"/>
              </w:rPr>
              <w:t>07.100.40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Микробиология. Микробиологиялық бақылауға қойылатын жалпы талаптар. ISO 21148:2017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4 және </w:t>
            </w:r>
          </w:p>
          <w:p>
            <w:pPr>
              <w:spacing w:after="20"/>
              <w:ind w:left="20"/>
              <w:jc w:val="both"/>
            </w:pPr>
            <w:r>
              <w:rPr>
                <w:rFonts w:ascii="Times New Roman"/>
                <w:b w:val="false"/>
                <w:i w:val="false"/>
                <w:color w:val="000000"/>
                <w:sz w:val="20"/>
              </w:rPr>
              <w:t>
7-тармақтары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p>
            <w:pPr>
              <w:spacing w:after="20"/>
              <w:ind w:left="20"/>
              <w:jc w:val="both"/>
            </w:pPr>
            <w:r>
              <w:rPr>
                <w:rFonts w:ascii="Times New Roman"/>
                <w:b w:val="false"/>
                <w:i w:val="false"/>
                <w:color w:val="000000"/>
                <w:sz w:val="20"/>
              </w:rPr>
              <w:t>07.100.40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Парфюмериялық-косметикалық өнім. Микробиология. Мезофильдік аэробты микроорганизмдерді есептеу және табу. ISO 21149:2017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4 және </w:t>
            </w:r>
          </w:p>
          <w:p>
            <w:pPr>
              <w:spacing w:after="20"/>
              <w:ind w:left="20"/>
              <w:jc w:val="both"/>
            </w:pPr>
            <w:r>
              <w:rPr>
                <w:rFonts w:ascii="Times New Roman"/>
                <w:b w:val="false"/>
                <w:i w:val="false"/>
                <w:color w:val="000000"/>
                <w:sz w:val="20"/>
              </w:rPr>
              <w:t>
7-тармақтары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Өнімнің микробқа қарсы тұру белсенділігін анықтау әдісі.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4 және </w:t>
            </w:r>
          </w:p>
          <w:p>
            <w:pPr>
              <w:spacing w:after="20"/>
              <w:ind w:left="20"/>
              <w:jc w:val="both"/>
            </w:pPr>
            <w:r>
              <w:rPr>
                <w:rFonts w:ascii="Times New Roman"/>
                <w:b w:val="false"/>
                <w:i w:val="false"/>
                <w:color w:val="000000"/>
                <w:sz w:val="20"/>
              </w:rPr>
              <w:t>
5-тармақтары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Парфюмериялық-косметикалық өнім. Талдамалық әдіс. ГХ/МС әдісімен диэтаноламинді (DEA) табу және сандық анықтау. ISO/TR 18818:2017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2-тармағы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Табиғи және органикалық косметикалық ингредиенттерге арналған техникалық анықтамалар жөніндегі басшылық. 2-бөлім: Ингредиенттер мен өнімнің критерийлері. ISO 16128-2:2017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6-баптың 4 және </w:t>
            </w:r>
          </w:p>
          <w:p>
            <w:pPr>
              <w:spacing w:after="20"/>
              <w:ind w:left="20"/>
              <w:jc w:val="both"/>
            </w:pPr>
            <w:r>
              <w:rPr>
                <w:rFonts w:ascii="Times New Roman"/>
                <w:b w:val="false"/>
                <w:i w:val="false"/>
                <w:color w:val="000000"/>
                <w:sz w:val="20"/>
              </w:rPr>
              <w:t xml:space="preserve">
5-тармақтары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Талдамалық әдістер. Теріні ағартуға арналған косметикалық өнімдегі гидрохинонді, гидрохинон эфирлерін және  кортикостероидтерді сәйкестендіру және сандық анықтау үшін ВЭЖХ/УФ-әдістері. EN 16956:2017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2-тармағы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Парфюмериялық-косметикалық өнім. Токсикологиялық және клиникалық-зертханалық қауіпсіздік көрсеткіштерін бағалау әдістері МР 1.1.0120-18 и МР 1.1.0121-18 ескере отырып 32893-2014 МемСТ-ны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Парфюмериялық-косметикалық өнім. Ингредиенттердің токсикологялық сипаттамалары негізінде токсикологиялық көрсеткіштерді бағалау жөніндегі басшылық нұсқаулар.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6-тармағы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пасталары. Жалпы техникалық шарттар. ISO 11609:2017 негізінде 7983-2016 МемСТ-ға өзгерістер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4 - 6-тармақтары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