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e52b" w14:textId="8bae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Центраторларды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наурыздағы № 38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Қара металдан әзірленген, мұнай және газ ұңғымаларын бекіту кезінде шегендеу бағанын түсіру кезіндегі үйкеліс күшін төмендету, ұңғыма діңгегін цементтеу кезіндегі шегендеу бағанын ортаға дәлдеу үшін қолданылатын шегендеу бағанының тірек-ортаға дәлдеу элементтері болып табылатын қатты және серіппелі центраторлар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7326 тауар позициясында сыныпталады.</w:t>
      </w:r>
    </w:p>
    <w:bookmarkEnd w:id="1"/>
    <w:bookmarkStart w:name="z3" w:id="2"/>
    <w:p>
      <w:pPr>
        <w:spacing w:after="0"/>
        <w:ind w:left="0"/>
        <w:jc w:val="both"/>
      </w:pPr>
      <w:r>
        <w:rPr>
          <w:rFonts w:ascii="Times New Roman"/>
          <w:b w:val="false"/>
          <w:i w:val="false"/>
          <w:color w:val="000000"/>
          <w:sz w:val="28"/>
        </w:rPr>
        <w:t>
      2. Тірек-ортаға дәлдеу құрылғылары болып табылатын, мұнай және газ ұңғымаларын бұрғылау кезінде бұрғылау бағанының төменгі бөлігін және кенжарлық қозғалтқышты ортаға дәлдеу, кенжарлық қозғалтқыштың корпусына немесе ауырлатылған бұрғылау құбырларына орнатылатын ұңғыма діңгегін тұрақтандыру немесе бағытын өзгерту үшін қолданылатын бұрғылау центраторлары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 31 43 000 0 қосалқы позициясында сыныпталады (бұрғылау центраторлары кескіндерінің үлгілері қосымшада берілген).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38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Қатты центратор кескінінің</w:t>
      </w:r>
      <w:r>
        <w:br/>
      </w:r>
      <w:r>
        <w:rPr>
          <w:rFonts w:ascii="Times New Roman"/>
          <w:b/>
          <w:i w:val="false"/>
          <w:color w:val="000000"/>
        </w:rPr>
        <w:t>ҮЛГІСІ</w:t>
      </w:r>
    </w:p>
    <w:bookmarkEnd w:id="4"/>
    <w:p>
      <w:pPr>
        <w:spacing w:after="0"/>
        <w:ind w:left="0"/>
        <w:jc w:val="left"/>
      </w:pPr>
      <w:r>
        <w:br/>
      </w:r>
    </w:p>
    <w:p>
      <w:pPr>
        <w:spacing w:after="0"/>
        <w:ind w:left="0"/>
        <w:jc w:val="both"/>
      </w:pPr>
      <w:r>
        <w:drawing>
          <wp:inline distT="0" distB="0" distL="0" distR="0">
            <wp:extent cx="35433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433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Серіппелі центраторлар кескіндерінің</w:t>
      </w:r>
      <w:r>
        <w:br/>
      </w:r>
      <w:r>
        <w:rPr>
          <w:rFonts w:ascii="Times New Roman"/>
          <w:b/>
          <w:i w:val="false"/>
          <w:color w:val="000000"/>
        </w:rPr>
        <w:t>ҮЛГІЛЕРІ</w:t>
      </w:r>
    </w:p>
    <w:bookmarkEnd w:id="5"/>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Бұрғылау центраторлары кескіндерінің</w:t>
      </w:r>
      <w:r>
        <w:br/>
      </w:r>
      <w:r>
        <w:rPr>
          <w:rFonts w:ascii="Times New Roman"/>
          <w:b/>
          <w:i w:val="false"/>
          <w:color w:val="000000"/>
        </w:rPr>
        <w:t>ҮЛГІЛЕРІ</w:t>
      </w:r>
    </w:p>
    <w:bookmarkEnd w:id="6"/>
    <w:p>
      <w:pPr>
        <w:spacing w:after="0"/>
        <w:ind w:left="0"/>
        <w:jc w:val="left"/>
      </w:pPr>
      <w:r>
        <w:br/>
      </w:r>
    </w:p>
    <w:p>
      <w:pPr>
        <w:spacing w:after="0"/>
        <w:ind w:left="0"/>
        <w:jc w:val="both"/>
      </w:pPr>
      <w:r>
        <w:drawing>
          <wp:inline distT="0" distB="0" distL="0" distR="0">
            <wp:extent cx="55880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0" cy="10020300"/>
                    </a:xfrm>
                    <a:prstGeom prst="rect">
                      <a:avLst/>
                    </a:prstGeom>
                  </pic:spPr>
                </pic:pic>
              </a:graphicData>
            </a:graphic>
          </wp:inline>
        </w:drawing>
      </w:r>
    </w:p>
    <w:p>
      <w:pPr>
        <w:spacing w:after="0"/>
        <w:ind w:left="0"/>
        <w:jc w:val="both"/>
      </w:pPr>
      <w:r>
        <w:drawing>
          <wp:inline distT="0" distB="0" distL="0" distR="0">
            <wp:extent cx="317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