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817d" w14:textId="f448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15 шілдедегі № 710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7 ақпандағы № 24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Техникалық регламенттерді әзірлеу, қабылдау, өзгерту және күшін жою тәртібінің 50-тармағын ескере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Кеден одағы Комиссиясының "Кеден одағының "Жылжымалы теміржол құрамының қауіпсіздігі туралы", "Жылдамдығы жоғары теміржол көлігінің қауіпсіздігі туралы" және "Теміржол көлігі инфрақұрылымының қауіпсіздігі туралы" техникалық регламенттерін қабылдау туралы" 2011 жылғы 15 шілдедегі № 710 шешіміне мынадай өзгерістер енгізілсін:</w:t>
      </w:r>
    </w:p>
    <w:bookmarkEnd w:id="0"/>
    <w:bookmarkStart w:name="z3" w:id="1"/>
    <w:p>
      <w:pPr>
        <w:spacing w:after="0"/>
        <w:ind w:left="0"/>
        <w:jc w:val="both"/>
      </w:pPr>
      <w:r>
        <w:rPr>
          <w:rFonts w:ascii="Times New Roman"/>
          <w:b w:val="false"/>
          <w:i w:val="false"/>
          <w:color w:val="000000"/>
          <w:sz w:val="28"/>
        </w:rPr>
        <w:t>
      а) 3-тармақ мынадай мазмұндағы 3.3-тармақшамен толықтырылсын:</w:t>
      </w:r>
    </w:p>
    <w:bookmarkEnd w:id="1"/>
    <w:p>
      <w:pPr>
        <w:spacing w:after="0"/>
        <w:ind w:left="0"/>
        <w:jc w:val="both"/>
      </w:pPr>
      <w:r>
        <w:rPr>
          <w:rFonts w:ascii="Times New Roman"/>
          <w:b w:val="false"/>
          <w:i w:val="false"/>
          <w:color w:val="000000"/>
          <w:sz w:val="28"/>
        </w:rPr>
        <w:t>
      "3.3. осындай теміржол жылжымалы құрамының тағайындалған қызмет ету мерзімі аяқталғанға дейін осы тармақтың 3.2-тармақшасында белгіленген өтпелі ережелерді ескере отырып 2014 жылғы 2 тамызға дейін пайдалануға енгізілген теміржол жылжымалы құрамына қызмет көрсету және жөндеуге арналған қосалқы бөлшек ретінде әкелінетін теміржол жылжымалы құрамының құрамдас бөлшектері сәйкестігін бағалау құжаттарынсыз айналымға шығаруға рұқсат етіледі.</w:t>
      </w:r>
    </w:p>
    <w:bookmarkStart w:name="z4" w:id="2"/>
    <w:p>
      <w:pPr>
        <w:spacing w:after="0"/>
        <w:ind w:left="0"/>
        <w:jc w:val="both"/>
      </w:pPr>
      <w:r>
        <w:rPr>
          <w:rFonts w:ascii="Times New Roman"/>
          <w:b w:val="false"/>
          <w:i w:val="false"/>
          <w:color w:val="000000"/>
          <w:sz w:val="28"/>
        </w:rPr>
        <w:t>
      Көрсетілген теміржол жылжымалы құрамы мыналарды қамтиды:</w:t>
      </w:r>
    </w:p>
    <w:bookmarkEnd w:id="2"/>
    <w:bookmarkStart w:name="z5" w:id="3"/>
    <w:p>
      <w:pPr>
        <w:spacing w:after="0"/>
        <w:ind w:left="0"/>
        <w:jc w:val="both"/>
      </w:pPr>
      <w:r>
        <w:rPr>
          <w:rFonts w:ascii="Times New Roman"/>
          <w:b w:val="false"/>
          <w:i w:val="false"/>
          <w:color w:val="000000"/>
          <w:sz w:val="28"/>
        </w:rPr>
        <w:t>
      Беларусь Республикасының шегінде ғана пайдалану мақсатында: БКГ1, БКГ2, ЧС4Т электровоздары, ТМЭ1, ТМЭ2, ТМЭ3 маневрлік тепловоздар, ЭПГ, ЭПР, ЭПРII, ЭПМ, ЭР9 электр поездары, ДП1, ДП3, ДР1, МДП, ДР1Б дизель-поездары, арнайы теміржол жылжымалы құрамы: Dynamic Stopfexpress 09-3X, Duomatic 09-32 CSM, Duomatic 08-32 T, Duomatic 08-32 Center Tool, РТ-800, Unimat Compact 08-275/3S, Plasser 08-275/3S, RM-76 UHR, RM-80 UHR, DGS-62 N, SSP-110 SW, COMPELVAC AC500 RD,MFS-240, GO-4C, MV-94, WM-15S13, MRT, MRT-2, SVP-74, SVP-74.1, PV, PVК;</w:t>
      </w:r>
    </w:p>
    <w:bookmarkEnd w:id="3"/>
    <w:bookmarkStart w:name="z6" w:id="4"/>
    <w:p>
      <w:pPr>
        <w:spacing w:after="0"/>
        <w:ind w:left="0"/>
        <w:jc w:val="both"/>
      </w:pPr>
      <w:r>
        <w:rPr>
          <w:rFonts w:ascii="Times New Roman"/>
          <w:b w:val="false"/>
          <w:i w:val="false"/>
          <w:color w:val="000000"/>
          <w:sz w:val="28"/>
        </w:rPr>
        <w:t>
      Қазақстан Республикасының шегінде ғана пайдалану мақсатында: KZ4A, KZ4Aс электровоздары, ТЭ33А, 2ТЭ10МК, CKD-6е (ТЭМ KZ), CKD-9 тепловоздары, PESA-630m рельстік автобусы, TSK (215B, 215A, 216A, 223, 224, 218A), Talgo (F031, F061, 6-шы серия) жолаушылар вагоны, арнайы жылжымалы құрамы: Duomatic 09-32CAT, Duomatic 08-32U, Unimat compact 08-275/3S-16, DGS-90N, PBR-400 U-RS, Plasser Unimat MF, RM-80 UHR, RM-2002, SMD-80, MFS 60-4, ATLAS, ЕМ-120, USP-2005, USP-2005 SW, MRT-2S, BRAD, LFT;</w:t>
      </w:r>
    </w:p>
    <w:bookmarkEnd w:id="4"/>
    <w:bookmarkStart w:name="z7" w:id="5"/>
    <w:p>
      <w:pPr>
        <w:spacing w:after="0"/>
        <w:ind w:left="0"/>
        <w:jc w:val="both"/>
      </w:pPr>
      <w:r>
        <w:rPr>
          <w:rFonts w:ascii="Times New Roman"/>
          <w:b w:val="false"/>
          <w:i w:val="false"/>
          <w:color w:val="000000"/>
          <w:sz w:val="28"/>
        </w:rPr>
        <w:t>
      Қырғыз Республикасының шегінде ғана пайдалану мақсатында – ТЭ33А тепловозы.</w:t>
      </w:r>
    </w:p>
    <w:bookmarkEnd w:id="5"/>
    <w:bookmarkStart w:name="z8" w:id="6"/>
    <w:p>
      <w:pPr>
        <w:spacing w:after="0"/>
        <w:ind w:left="0"/>
        <w:jc w:val="both"/>
      </w:pPr>
      <w:r>
        <w:rPr>
          <w:rFonts w:ascii="Times New Roman"/>
          <w:b w:val="false"/>
          <w:i w:val="false"/>
          <w:color w:val="000000"/>
          <w:sz w:val="28"/>
        </w:rPr>
        <w:t>
      Құрамдас бөліктерді Еуразиялық экономикалық одақтың сәйкестікті бағалау жөніндегі органдарының бірыңғай тізіліміне енгізілген және Еуразиялық экономикалық одаққа мүше мемлекеттердің заңнамасына сәйкес тиісті мемлекеттің аумағында осындай құрамдас бөліктерді сәйкестендіруді жүргізу үшін уәкілетті теміржол жылжымалы құрамының және оның құрамдас бөліктерінің сәйкестігін бағалау жөніндегі орган теміржол жылжымалы құрамына қосалқы бөліктер ретінде сәйкестендіруге тиіс.</w:t>
      </w:r>
    </w:p>
    <w:bookmarkEnd w:id="6"/>
    <w:bookmarkStart w:name="z9" w:id="7"/>
    <w:p>
      <w:pPr>
        <w:spacing w:after="0"/>
        <w:ind w:left="0"/>
        <w:jc w:val="both"/>
      </w:pPr>
      <w:r>
        <w:rPr>
          <w:rFonts w:ascii="Times New Roman"/>
          <w:b w:val="false"/>
          <w:i w:val="false"/>
          <w:color w:val="000000"/>
          <w:sz w:val="28"/>
        </w:rPr>
        <w:t>
      Сәйкестендіру нәтижелері туралы мәліметтер көрсетілген органның тиісті қорытындысы (актісі) түрінде орыс тілінде және Еуразиялық экономикалық одаққа мүше мемлекеттің заңнамасында тиісті талаптар болған жағдайда осы мемлекеттің мемлекеттік тілінде (мемлекеттік тілдерінде) рәсімделеді, Беларусь Республикасының, Қазақстан Республикасының және Қырғыз Республикасының техникалық реттеу саласындағы уәкілетті органдарының ақпараттық-телекоммуникациялық "Интернет" желісіндегі ресми сайттарында ашық қолжетімділікте орналастыруға жатады және мыналарды қамтиды:</w:t>
      </w:r>
    </w:p>
    <w:bookmarkEnd w:id="7"/>
    <w:bookmarkStart w:name="z10" w:id="8"/>
    <w:p>
      <w:pPr>
        <w:spacing w:after="0"/>
        <w:ind w:left="0"/>
        <w:jc w:val="both"/>
      </w:pPr>
      <w:r>
        <w:rPr>
          <w:rFonts w:ascii="Times New Roman"/>
          <w:b w:val="false"/>
          <w:i w:val="false"/>
          <w:color w:val="000000"/>
          <w:sz w:val="28"/>
        </w:rPr>
        <w:t>
      кедендік жүк декларациясының нөмірі;</w:t>
      </w:r>
    </w:p>
    <w:bookmarkEnd w:id="8"/>
    <w:bookmarkStart w:name="z11" w:id="9"/>
    <w:p>
      <w:pPr>
        <w:spacing w:after="0"/>
        <w:ind w:left="0"/>
        <w:jc w:val="both"/>
      </w:pPr>
      <w:r>
        <w:rPr>
          <w:rFonts w:ascii="Times New Roman"/>
          <w:b w:val="false"/>
          <w:i w:val="false"/>
          <w:color w:val="000000"/>
          <w:sz w:val="28"/>
        </w:rPr>
        <w:t>
      тауардың ілеспе құжаттамасының және импортердың атауы;</w:t>
      </w:r>
    </w:p>
    <w:bookmarkEnd w:id="9"/>
    <w:bookmarkStart w:name="z12" w:id="10"/>
    <w:p>
      <w:pPr>
        <w:spacing w:after="0"/>
        <w:ind w:left="0"/>
        <w:jc w:val="both"/>
      </w:pPr>
      <w:r>
        <w:rPr>
          <w:rFonts w:ascii="Times New Roman"/>
          <w:b w:val="false"/>
          <w:i w:val="false"/>
          <w:color w:val="000000"/>
          <w:sz w:val="28"/>
        </w:rPr>
        <w:t>
      қосалқы бөлшектердің және оларды өндірушілердің атауы;</w:t>
      </w:r>
    </w:p>
    <w:bookmarkEnd w:id="10"/>
    <w:bookmarkStart w:name="z13" w:id="11"/>
    <w:p>
      <w:pPr>
        <w:spacing w:after="0"/>
        <w:ind w:left="0"/>
        <w:jc w:val="both"/>
      </w:pPr>
      <w:r>
        <w:rPr>
          <w:rFonts w:ascii="Times New Roman"/>
          <w:b w:val="false"/>
          <w:i w:val="false"/>
          <w:color w:val="000000"/>
          <w:sz w:val="28"/>
        </w:rPr>
        <w:t>
      ЕАЭО СЭҚ ТН кодтары;</w:t>
      </w:r>
    </w:p>
    <w:bookmarkEnd w:id="11"/>
    <w:bookmarkStart w:name="z14" w:id="12"/>
    <w:p>
      <w:pPr>
        <w:spacing w:after="0"/>
        <w:ind w:left="0"/>
        <w:jc w:val="both"/>
      </w:pPr>
      <w:r>
        <w:rPr>
          <w:rFonts w:ascii="Times New Roman"/>
          <w:b w:val="false"/>
          <w:i w:val="false"/>
          <w:color w:val="000000"/>
          <w:sz w:val="28"/>
        </w:rPr>
        <w:t>
      қосалқы бөлшектер саны;</w:t>
      </w:r>
    </w:p>
    <w:bookmarkEnd w:id="12"/>
    <w:bookmarkStart w:name="z15" w:id="13"/>
    <w:p>
      <w:pPr>
        <w:spacing w:after="0"/>
        <w:ind w:left="0"/>
        <w:jc w:val="both"/>
      </w:pPr>
      <w:r>
        <w:rPr>
          <w:rFonts w:ascii="Times New Roman"/>
          <w:b w:val="false"/>
          <w:i w:val="false"/>
          <w:color w:val="000000"/>
          <w:sz w:val="28"/>
        </w:rPr>
        <w:t>
      қосалқы бөлшек орнатылатын осы тармақшаның үшінші – бесінші абзацтарында көрсетілген жылжымалы құрамның атауы, типі, моделі және түрленімі (бар болған жағдайда);</w:t>
      </w:r>
    </w:p>
    <w:bookmarkEnd w:id="13"/>
    <w:bookmarkStart w:name="z16" w:id="14"/>
    <w:p>
      <w:pPr>
        <w:spacing w:after="0"/>
        <w:ind w:left="0"/>
        <w:jc w:val="both"/>
      </w:pPr>
      <w:r>
        <w:rPr>
          <w:rFonts w:ascii="Times New Roman"/>
          <w:b w:val="false"/>
          <w:i w:val="false"/>
          <w:color w:val="000000"/>
          <w:sz w:val="28"/>
        </w:rPr>
        <w:t>
      сәйкестендіру белгісі;</w:t>
      </w:r>
    </w:p>
    <w:bookmarkEnd w:id="14"/>
    <w:bookmarkStart w:name="z17" w:id="15"/>
    <w:p>
      <w:pPr>
        <w:spacing w:after="0"/>
        <w:ind w:left="0"/>
        <w:jc w:val="both"/>
      </w:pPr>
      <w:r>
        <w:rPr>
          <w:rFonts w:ascii="Times New Roman"/>
          <w:b w:val="false"/>
          <w:i w:val="false"/>
          <w:color w:val="000000"/>
          <w:sz w:val="28"/>
        </w:rPr>
        <w:t>
      сәйкестендірудің берілген қорытындысы (актісі).</w:t>
      </w:r>
    </w:p>
    <w:bookmarkEnd w:id="15"/>
    <w:bookmarkStart w:name="z18" w:id="16"/>
    <w:p>
      <w:pPr>
        <w:spacing w:after="0"/>
        <w:ind w:left="0"/>
        <w:jc w:val="both"/>
      </w:pPr>
      <w:r>
        <w:rPr>
          <w:rFonts w:ascii="Times New Roman"/>
          <w:b w:val="false"/>
          <w:i w:val="false"/>
          <w:color w:val="000000"/>
          <w:sz w:val="28"/>
        </w:rPr>
        <w:t>
      Мұндай өнімді Еуразиялық экономикалық одақ нарығында өнімнің айналымының бірыңғай белгісімен таңбалауға жол берілмейді.</w:t>
      </w:r>
    </w:p>
    <w:bookmarkEnd w:id="16"/>
    <w:bookmarkStart w:name="z19" w:id="17"/>
    <w:p>
      <w:pPr>
        <w:spacing w:after="0"/>
        <w:ind w:left="0"/>
        <w:jc w:val="both"/>
      </w:pPr>
      <w:r>
        <w:rPr>
          <w:rFonts w:ascii="Times New Roman"/>
          <w:b w:val="false"/>
          <w:i w:val="false"/>
          <w:color w:val="000000"/>
          <w:sz w:val="28"/>
        </w:rPr>
        <w:t>
      Еуразиялық экономикалық одаққа мүше мемлекеттерден қосалқы бөлшектер әкелінген Еуразиялық экономикалық одаққа мүше мемлекеттің аумағында қосалқы бөлшектерге сәйкестігін бағалау туралы құжаттарсыз орнатылған жылжымалы құрамның пайдаланылуын бақылауды қамтамасыз ету сұралсын.";</w:t>
      </w:r>
    </w:p>
    <w:bookmarkEnd w:id="17"/>
    <w:bookmarkStart w:name="z20" w:id="18"/>
    <w:p>
      <w:pPr>
        <w:spacing w:after="0"/>
        <w:ind w:left="0"/>
        <w:jc w:val="both"/>
      </w:pPr>
      <w:r>
        <w:rPr>
          <w:rFonts w:ascii="Times New Roman"/>
          <w:b w:val="false"/>
          <w:i w:val="false"/>
          <w:color w:val="000000"/>
          <w:sz w:val="28"/>
        </w:rPr>
        <w:t>
      б) 6-тармақ мынадай мазмұндағы 6.4-тармақшамен толықтырылсын:</w:t>
      </w:r>
    </w:p>
    <w:bookmarkEnd w:id="18"/>
    <w:p>
      <w:pPr>
        <w:spacing w:after="0"/>
        <w:ind w:left="0"/>
        <w:jc w:val="both"/>
      </w:pPr>
      <w:r>
        <w:rPr>
          <w:rFonts w:ascii="Times New Roman"/>
          <w:b w:val="false"/>
          <w:i w:val="false"/>
          <w:color w:val="000000"/>
          <w:sz w:val="28"/>
        </w:rPr>
        <w:t>
      "6.4. осы Шешімнің 3-тармағының 3.3-тармақшасында көрсетілген теміржол жылжымалы құрамы туралы деректерді кем дегенде 2 жылда 1 рет өзектендіру қамтамасыз етілсін.".</w:t>
      </w:r>
    </w:p>
    <w:bookmarkStart w:name="z21" w:id="19"/>
    <w:p>
      <w:pPr>
        <w:spacing w:after="0"/>
        <w:ind w:left="0"/>
        <w:jc w:val="both"/>
      </w:pPr>
      <w:r>
        <w:rPr>
          <w:rFonts w:ascii="Times New Roman"/>
          <w:b w:val="false"/>
          <w:i w:val="false"/>
          <w:color w:val="000000"/>
          <w:sz w:val="28"/>
        </w:rPr>
        <w:t>
      2. Беларусь Республикасы Үкіметінен Беларусь Республикасының шегінде ғана пайдалану мақсатында теміржол жылжымалы құрамына қызмет көрсету және жөндеу үшін қосалқы бөлшектер ретінде әкелінген теміржол жылжымалы құрамының құрамдас бөлшектерін сәйкестікті бағалау құжаттарынсыз айналымға шығару мақсатында құрамдас бөліктердің және оларды өндірушілердің атауларын, ЕАЭО СЭҚ ТН кодтарын, құрамдас бөліктер орнатылған жылжымалы құрамның типтері мен модельдерін, құрамдас бөліктер көрсетілген ерекшеліктерді, құрамдас бөліктердің санын көрсете отырып, Кеден одағы Комиссиясының 2011 жылғы 15 шілдедегі № 710 шешімінің 3-тармағы 3.3-тармақшасының үшінші абзацында көзделген теміржол жылжымалы құрамының құрамдас бөліктерінің тізбесін Еуразиялық экономикалық комиссияға ұсыну сұралсын.</w:t>
      </w:r>
    </w:p>
    <w:bookmarkEnd w:id="19"/>
    <w:bookmarkStart w:name="z22" w:id="20"/>
    <w:p>
      <w:pPr>
        <w:spacing w:after="0"/>
        <w:ind w:left="0"/>
        <w:jc w:val="both"/>
      </w:pPr>
      <w:r>
        <w:rPr>
          <w:rFonts w:ascii="Times New Roman"/>
          <w:b w:val="false"/>
          <w:i w:val="false"/>
          <w:color w:val="000000"/>
          <w:sz w:val="28"/>
        </w:rPr>
        <w:t>
      3. Еуразиялық экономикалық комиссияның Техникалық реттеу жөніндегі Алқа мүшесі (Министр) В.Н. Корешков Еуразиялық экономикалық комиссия Алқасының отырысында осы Шешімнің 2-тармағының орындалуы туралы баяндасын.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Шешім осы Шешімнің </w:t>
      </w:r>
      <w:r>
        <w:rPr>
          <w:rFonts w:ascii="Times New Roman"/>
          <w:b w:val="false"/>
          <w:i w:val="false"/>
          <w:color w:val="000000"/>
          <w:sz w:val="28"/>
        </w:rPr>
        <w:t>1-тармағының</w:t>
      </w:r>
      <w:r>
        <w:rPr>
          <w:rFonts w:ascii="Times New Roman"/>
          <w:b w:val="false"/>
          <w:i w:val="false"/>
          <w:color w:val="000000"/>
          <w:sz w:val="28"/>
        </w:rPr>
        <w:t xml:space="preserve"> "а" тармақшасының төртінші абзацында көзделген өзгерістерді қоспағанда, ресми жарияланған күнінен бастап күнтізбелік 30 күн өткен соң күшіне енеді.</w:t>
      </w:r>
    </w:p>
    <w:bookmarkStart w:name="z24" w:id="21"/>
    <w:p>
      <w:pPr>
        <w:spacing w:after="0"/>
        <w:ind w:left="0"/>
        <w:jc w:val="both"/>
      </w:pPr>
      <w:r>
        <w:rPr>
          <w:rFonts w:ascii="Times New Roman"/>
          <w:b w:val="false"/>
          <w:i w:val="false"/>
          <w:color w:val="000000"/>
          <w:sz w:val="28"/>
        </w:rPr>
        <w:t>
      Осы Шешімнің 1-тармағының "а" тармақшасының төртінші абзацында көзделген өзгерістер Еуразиялық экономикалық комиссия Алқасының жеке шешіміне сәйкес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