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0ce9" w14:textId="ecc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шығарылатын және Еуразиялық экономикалық одақтың кедендік аумағына әкелінетін іш киімнің, балалар киімдерінің және балалар киімдеріне керек-жарақтардың кейбір түрлеріне қатысты триггерлік қорғау шарасын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келісімнің (бұдан әрі – Келісім) </w:t>
      </w:r>
      <w:r>
        <w:rPr>
          <w:rFonts w:ascii="Times New Roman"/>
          <w:b w:val="false"/>
          <w:i w:val="false"/>
          <w:color w:val="000000"/>
          <w:sz w:val="28"/>
        </w:rPr>
        <w:t>2.10-бабы</w:t>
      </w:r>
      <w:r>
        <w:rPr>
          <w:rFonts w:ascii="Times New Roman"/>
          <w:b w:val="false"/>
          <w:i w:val="false"/>
          <w:color w:val="000000"/>
          <w:sz w:val="28"/>
        </w:rPr>
        <w:t xml:space="preserve"> және Еуразиялық экономикалық комиссия Кеңесінің 2016 жылғы 18 қазандағы № 115 шешімімен бекітілген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 шеңберінде триггерлік қорғау шараларын қолдану тәртібі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Вьетнам Социалистік Республикасында шығарылатын және Еуразиялық экономикалық одақтың кедендік аумағына әкелінетін мынадай тауарларға қатысты </w:t>
      </w:r>
      <w:r>
        <w:rPr>
          <w:rFonts w:ascii="Times New Roman"/>
          <w:b w:val="false"/>
          <w:i w:val="false"/>
          <w:color w:val="000000"/>
          <w:sz w:val="28"/>
        </w:rPr>
        <w:t>Келісімге</w:t>
      </w:r>
      <w:r>
        <w:rPr>
          <w:rFonts w:ascii="Times New Roman"/>
          <w:b w:val="false"/>
          <w:i w:val="false"/>
          <w:color w:val="000000"/>
          <w:sz w:val="28"/>
        </w:rPr>
        <w:t xml:space="preserve"> сәйкес тарифтік преференцияны қолдана отырып триггерлік қорғау шарасы қолданылсын:</w:t>
      </w:r>
    </w:p>
    <w:bookmarkStart w:name="z3" w:id="0"/>
    <w:p>
      <w:pPr>
        <w:spacing w:after="0"/>
        <w:ind w:left="0"/>
        <w:jc w:val="both"/>
      </w:pPr>
      <w:r>
        <w:rPr>
          <w:rFonts w:ascii="Times New Roman"/>
          <w:b w:val="false"/>
          <w:i w:val="false"/>
          <w:color w:val="000000"/>
          <w:sz w:val="28"/>
        </w:rPr>
        <w:t>
      а) ЕАЭО СЭҚ ТН 6107, 6108, 6207, 6208, 6212 кодтарымен сыныпталатын іш киімдер. Триггерлік қорғау шарасының қолданылу мерзімі 9 айға белгіленсін;</w:t>
      </w:r>
    </w:p>
    <w:bookmarkEnd w:id="0"/>
    <w:bookmarkStart w:name="z4" w:id="1"/>
    <w:p>
      <w:pPr>
        <w:spacing w:after="0"/>
        <w:ind w:left="0"/>
        <w:jc w:val="both"/>
      </w:pPr>
      <w:r>
        <w:rPr>
          <w:rFonts w:ascii="Times New Roman"/>
          <w:b w:val="false"/>
          <w:i w:val="false"/>
          <w:color w:val="000000"/>
          <w:sz w:val="28"/>
        </w:rPr>
        <w:t>
      б) ЕАЭО СЭҚ ТН 6111 20, 6111 30, 6111 90, 6209 кодтарымен сыныпталатын балалар киімі және балалар киіміне керек-жарақтар. Триггерлік қорғау шарасының қолданылу мерзімі 6 айға белгіленсін.</w:t>
      </w:r>
    </w:p>
    <w:bookmarkEnd w:id="1"/>
    <w:bookmarkStart w:name="z5" w:id="2"/>
    <w:p>
      <w:pPr>
        <w:spacing w:after="0"/>
        <w:ind w:left="0"/>
        <w:jc w:val="both"/>
      </w:pPr>
      <w:r>
        <w:rPr>
          <w:rFonts w:ascii="Times New Roman"/>
          <w:b w:val="false"/>
          <w:i w:val="false"/>
          <w:color w:val="000000"/>
          <w:sz w:val="28"/>
        </w:rPr>
        <w:t>
      2. Триггерлік қорғау шарасының түрі мен мөлшері осы Шешім күшіне енген күннен бастап Еуразиялық экономикалық одақтың Бірыңғай кедендік тарифінің осы Шешімнің 1-тармағында көрсетілген тауарларға қатысты қолданылатын кедендік әкелу бажы ставкасының түрі мен мөлшеріне сәйкес келетін кедендік әкелу бажы нысанында қолданылады деп белгіленсін.</w:t>
      </w:r>
    </w:p>
    <w:bookmarkEnd w:id="2"/>
    <w:bookmarkStart w:name="z6"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