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aa0a" w14:textId="ceca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қол қою мәселелері туралы</w:t>
      </w:r>
    </w:p>
    <w:p>
      <w:pPr>
        <w:spacing w:after="0"/>
        <w:ind w:left="0"/>
        <w:jc w:val="both"/>
      </w:pPr>
      <w:r>
        <w:rPr>
          <w:rFonts w:ascii="Times New Roman"/>
          <w:b w:val="false"/>
          <w:i w:val="false"/>
          <w:color w:val="000000"/>
          <w:sz w:val="28"/>
        </w:rPr>
        <w:t>Жоғары Еуразиялық экономикалық Кеңестің 2018 жылғы 8 мамырдағы № 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7-бабы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 және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6-тармағын</w:t>
      </w:r>
      <w:r>
        <w:rPr>
          <w:rFonts w:ascii="Times New Roman"/>
          <w:b w:val="false"/>
          <w:i w:val="false"/>
          <w:color w:val="000000"/>
          <w:sz w:val="28"/>
        </w:rPr>
        <w:t xml:space="preserve"> басшылыққа ала отырып,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1.Еуразиялық экономикалық комиссия Алқасының Төрағасы Т.С.Саркисян Еуразиялық экономикалық одаққа мүше мемлекеттер қажетті мемлекетішілік рәсімдерді аяқтағаннан кейін Еуразиялық экономикалық одақ атынан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қол қойсын.</w:t>
      </w:r>
    </w:p>
    <w:bookmarkEnd w:id="1"/>
    <w:bookmarkStart w:name="z3" w:id="2"/>
    <w:p>
      <w:pPr>
        <w:spacing w:after="0"/>
        <w:ind w:left="0"/>
        <w:jc w:val="both"/>
      </w:pPr>
      <w:r>
        <w:rPr>
          <w:rFonts w:ascii="Times New Roman"/>
          <w:b w:val="false"/>
          <w:i w:val="false"/>
          <w:color w:val="000000"/>
          <w:sz w:val="28"/>
        </w:rPr>
        <w:t>
      2.Осы Шешім ресми жарияланған күнінен бастап күшіне енеді.</w:t>
      </w:r>
    </w:p>
    <w:bookmarkEnd w:id="2"/>
    <w:bookmarkStart w:name="z4" w:id="3"/>
    <w:p>
      <w:pPr>
        <w:spacing w:after="0"/>
        <w:ind w:left="0"/>
        <w:jc w:val="left"/>
      </w:pPr>
      <w:r>
        <w:rPr>
          <w:rFonts w:ascii="Times New Roman"/>
          <w:b/>
          <w:i w:val="false"/>
          <w:color w:val="000000"/>
        </w:rPr>
        <w:t xml:space="preserve"> Жоғары Еуразиялық экономикалық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Армения</w:t>
            </w:r>
          </w:p>
          <w:p>
            <w:pPr>
              <w:spacing w:after="20"/>
              <w:ind w:left="20"/>
              <w:jc w:val="both"/>
            </w:pPr>
          </w:p>
          <w:p>
            <w:pPr>
              <w:spacing w:after="20"/>
              <w:ind w:left="20"/>
              <w:jc w:val="both"/>
            </w:pPr>
            <w:r>
              <w:rPr>
                <w:rFonts w:ascii="Times New Roman"/>
                <w:b/>
                <w:i w:val="false"/>
                <w:color w:val="00000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Беларусь</w:t>
            </w:r>
          </w:p>
          <w:p>
            <w:pPr>
              <w:spacing w:after="20"/>
              <w:ind w:left="20"/>
              <w:jc w:val="both"/>
            </w:pPr>
          </w:p>
          <w:p>
            <w:pPr>
              <w:spacing w:after="20"/>
              <w:ind w:left="20"/>
              <w:jc w:val="both"/>
            </w:pPr>
            <w:r>
              <w:rPr>
                <w:rFonts w:ascii="Times New Roman"/>
                <w:b/>
                <w:i w:val="false"/>
                <w:color w:val="00000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w:t>
            </w:r>
          </w:p>
          <w:p>
            <w:pPr>
              <w:spacing w:after="20"/>
              <w:ind w:left="20"/>
              <w:jc w:val="both"/>
            </w:pPr>
          </w:p>
          <w:p>
            <w:pPr>
              <w:spacing w:after="20"/>
              <w:ind w:left="20"/>
              <w:jc w:val="both"/>
            </w:pPr>
            <w:r>
              <w:rPr>
                <w:rFonts w:ascii="Times New Roman"/>
                <w:b/>
                <w:i w:val="false"/>
                <w:color w:val="00000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Қырғыз</w:t>
            </w:r>
          </w:p>
          <w:p>
            <w:pPr>
              <w:spacing w:after="20"/>
              <w:ind w:left="20"/>
              <w:jc w:val="both"/>
            </w:pPr>
          </w:p>
          <w:p>
            <w:pPr>
              <w:spacing w:after="20"/>
              <w:ind w:left="20"/>
              <w:jc w:val="both"/>
            </w:pPr>
            <w:r>
              <w:rPr>
                <w:rFonts w:ascii="Times New Roman"/>
                <w:b/>
                <w:i w:val="false"/>
                <w:color w:val="00000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Ресей</w:t>
            </w:r>
          </w:p>
          <w:p>
            <w:pPr>
              <w:spacing w:after="20"/>
              <w:ind w:left="20"/>
              <w:jc w:val="both"/>
            </w:pPr>
          </w:p>
          <w:p>
            <w:pPr>
              <w:spacing w:after="20"/>
              <w:ind w:left="20"/>
              <w:jc w:val="both"/>
            </w:pPr>
            <w:r>
              <w:rPr>
                <w:rFonts w:ascii="Times New Roman"/>
                <w:b/>
                <w:i w:val="false"/>
                <w:color w:val="000000"/>
              </w:rPr>
              <w:t>Федерациясынан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