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66f6" w14:textId="2136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тербеліс мойынтіректеріне (инелілерін қоспағанда) қатысты демпингке қарсы шаралардың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150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комиссияның 2013 жылғы 17 қыркүйектегі "Қытай Халық Республикасында шығарылатын және Кеден одағының бірыңғай кедендік аумағына әкелінетін (әкелінген) тербеліс мойынтіректеріне (инелілерін қоспағанда) қатысты демпингке қарсы шаралардың қолданысын ұзарту туралы" № 197 шешімімен белгіленген демпингке қарсы шаралардың қолданысы қоса алғанда 2018 жылғы 17 қыркүйекке дейінгі аралыққа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 мемлекеттік органдары осы Шешім күшіне енген күннен бастап қоса алғанда 2018 жылғы 17 қыркүйекке дейінгі аралықта демпингке қарсы алдын ала баждар алу үшін белгіленген тәртіппен Еуразиялық экономикалық комиссия Алқасының 2013 жылғы 17 қыркүйектегі № 197 шешімімен белгіленген ставкалар бойынша демпингке қарсы баждар алуды қамтамасыз етсін.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2018 жылғы 21 қаңтардан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