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f92f" w14:textId="d1bf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ыстықтай жатықталған болат бұрыштарға қатысты демпингке қарсы бажды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2017 жылғы 3 қазандағы № 133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 баяндамасының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Украинада шығарылатын, Еуразиялық экономикалық одақ аумағына әкелінетін ЕАЭО СЭҚ ТН 7216 21 000 0, 7216 40 100 0, 7216 50 100 0, 7216 50 990 0, 7228 70 100 0 кодтарымен сыныпталатын көміртекті, аз қоспаланған және қоспаланған (коррозияға берігін қоспағанда) болаттан жасалған, сөресінің ені 20-дан қоса алғанда 200 мм дейінгі ыстықтай жатықталған теңсөрелі болат бұрыштарға қатысты демпингке қарсы баж енгізу арқылы демпингке қарсы шараның қолданылу мерзімін 4 жыл 8 ай деп белгілей отырып, қосымшаға сәйкес мөлшерлерде демпингке қарсы шара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уәкілеттік берілген мемлекеттік органдары:</w:t>
      </w:r>
    </w:p>
    <w:bookmarkEnd w:id="2"/>
    <w:bookmarkStart w:name="z4" w:id="3"/>
    <w:p>
      <w:pPr>
        <w:spacing w:after="0"/>
        <w:ind w:left="0"/>
        <w:jc w:val="both"/>
      </w:pPr>
      <w:r>
        <w:rPr>
          <w:rFonts w:ascii="Times New Roman"/>
          <w:b w:val="false"/>
          <w:i w:val="false"/>
          <w:color w:val="000000"/>
          <w:sz w:val="28"/>
        </w:rPr>
        <w:t>
      ЕАЭО СЭҚ ТН кодтарын да, тауардың атауын да басшылыққа ала отырып, осы Шешімде көзделген демпингке қарсы баж алуды қамтамасыз етсін.</w:t>
      </w:r>
    </w:p>
    <w:bookmarkEnd w:id="3"/>
    <w:bookmarkStart w:name="z5" w:id="4"/>
    <w:p>
      <w:pPr>
        <w:spacing w:after="0"/>
        <w:ind w:left="0"/>
        <w:jc w:val="both"/>
      </w:pPr>
      <w:r>
        <w:rPr>
          <w:rFonts w:ascii="Times New Roman"/>
          <w:b w:val="false"/>
          <w:i w:val="false"/>
          <w:color w:val="000000"/>
          <w:sz w:val="28"/>
        </w:rPr>
        <w:t xml:space="preserve">
      Еуразиялық экономикалық комиссия Алқасының 2017 жылғы 11 мамырдағы № 53 </w:t>
      </w:r>
      <w:r>
        <w:rPr>
          <w:rFonts w:ascii="Times New Roman"/>
          <w:b w:val="false"/>
          <w:i w:val="false"/>
          <w:color w:val="000000"/>
          <w:sz w:val="28"/>
        </w:rPr>
        <w:t>шешімімен</w:t>
      </w:r>
      <w:r>
        <w:rPr>
          <w:rFonts w:ascii="Times New Roman"/>
          <w:b w:val="false"/>
          <w:i w:val="false"/>
          <w:color w:val="000000"/>
          <w:sz w:val="28"/>
        </w:rPr>
        <w:t xml:space="preserve"> белгіленген алдын ала демпингке қарсы баждың төленген (алынған) сомасын демпингке қарсы бажға есепке жатқызуды жүзеге асыруды және Еуразиялық экономикалық одақтың олар төленген (алынған) мүше мемлекетінің уәкілетті органының бірыңғай шотына есепке алуды қамтамасыз етсін. </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қазаннан кейін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 қазандағы</w:t>
            </w:r>
            <w:r>
              <w:br/>
            </w:r>
            <w:r>
              <w:rPr>
                <w:rFonts w:ascii="Times New Roman"/>
                <w:b w:val="false"/>
                <w:i w:val="false"/>
                <w:color w:val="000000"/>
                <w:sz w:val="20"/>
              </w:rPr>
              <w:t>№133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Демпингке қарсы баж СТАВКАЛАРЫНЫҢ МӨЛШЕРЛЕРІ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Демпингке қарсы </w:t>
            </w:r>
          </w:p>
          <w:p>
            <w:pPr>
              <w:spacing w:after="20"/>
              <w:ind w:left="20"/>
              <w:jc w:val="both"/>
            </w:pPr>
            <w:r>
              <w:rPr>
                <w:rFonts w:ascii="Times New Roman"/>
                <w:b w:val="false"/>
                <w:i w:val="false"/>
                <w:color w:val="000000"/>
                <w:sz w:val="20"/>
              </w:rPr>
              <w:t>
</w:t>
            </w:r>
            <w:r>
              <w:rPr>
                <w:rFonts w:ascii="Times New Roman"/>
                <w:b/>
                <w:i w:val="false"/>
                <w:color w:val="000000"/>
                <w:sz w:val="20"/>
              </w:rPr>
              <w:t>баж ставкасының (кедендік құннан пайыздық)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Көміртекті, аз қоспаланған және қоспаланған (коррозияға берігін қоспағанда) болаттан жасалған, сөресінің ені 20-дан қоса алғанда 200 мм дейінгі ыстықтай </w:t>
            </w:r>
            <w:r>
              <w:rPr>
                <w:rFonts w:ascii="Times New Roman"/>
                <w:b/>
                <w:i w:val="false"/>
                <w:color w:val="000000"/>
                <w:sz w:val="20"/>
              </w:rPr>
              <w:t>жатықталған</w:t>
            </w:r>
            <w:r>
              <w:rPr>
                <w:rFonts w:ascii="Times New Roman"/>
                <w:b/>
                <w:i w:val="false"/>
                <w:color w:val="000000"/>
                <w:sz w:val="20"/>
              </w:rPr>
              <w:t xml:space="preserve"> теңсөрелі болат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"Енакиев металлургия зауыты" жеке меншік акционерлік қоғамы (Украина, 87504, Донецк облысы, Мариуполь қ., Ильич даңғылы</w:t>
            </w:r>
            <w:r>
              <w:rPr>
                <w:rFonts w:ascii="Times New Roman"/>
                <w:b/>
                <w:i w:val="false"/>
                <w:color w:val="000000"/>
                <w:sz w:val="20"/>
              </w:rPr>
              <w:t>.</w:t>
            </w:r>
            <w:r>
              <w:rPr>
                <w:rFonts w:ascii="Times New Roman"/>
                <w:b/>
                <w:i w:val="false"/>
                <w:color w:val="000000"/>
                <w:sz w:val="20"/>
              </w:rPr>
              <w:t>, 54, 4-блок)</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"Азовсталь" металлургия комбинаты" жеке меншік акционерлік қоғамы (Украина, 87500, Донецк облысы, Мариуполь қ., Лепорский көшесі</w:t>
            </w:r>
            <w:r>
              <w:rPr>
                <w:rFonts w:ascii="Times New Roman"/>
                <w:b/>
                <w:i w:val="false"/>
                <w:color w:val="000000"/>
                <w:sz w:val="20"/>
              </w:rPr>
              <w:t>.</w:t>
            </w:r>
            <w:r>
              <w:rPr>
                <w:rFonts w:ascii="Times New Roman"/>
                <w:b/>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37,89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