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99e" w14:textId="c270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Оптикалық әйнектен жасалған шыбықтарға қатысты Еуразиялық экономикалық одақтың Бірыңғай кедендік тарифінің кедендік әкелу бажы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4 тамыздағы № 94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7002 20 100 0 кодымен сыныпталатын, оптикалық әйнектен жасалған шыбықтарға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осы Шешім күшіне енген күннен бастап қоса алғанда 2019 жылғы 31 тамызға дейінгі аралықта кедендік құннан 0 пайыз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графадағы ЕАЭО СЭҚ ТН  7002 20 100 0 коды бар позиция "</w:t>
      </w:r>
      <w:r>
        <w:rPr>
          <w:rFonts w:ascii="Times New Roman"/>
          <w:b w:val="false"/>
          <w:i w:val="false"/>
          <w:color w:val="000000"/>
          <w:vertAlign w:val="superscript"/>
        </w:rPr>
        <w:t>45С</w:t>
      </w:r>
      <w:r>
        <w:rPr>
          <w:rFonts w:ascii="Times New Roman"/>
          <w:b w:val="false"/>
          <w:i w:val="false"/>
          <w:color w:val="000000"/>
          <w:sz w:val="28"/>
        </w:rPr>
        <w:t>" ескертпеге сілтемемен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45С ескертпемен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Алқасының 2017 жылғы 4 тамыздағы № 94 шешімі күшіне енген күнннен бастап қоса алғанда 31.08.2019 дейінгі аралықта қолданылады."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2017 жылғы 2 қыркүйектен кейін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