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b878" w14:textId="d94b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бұрғылау штангасын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2017 жылғы 18 шілдедегі № 89 шешімі</w:t>
      </w:r>
    </w:p>
    <w:p>
      <w:pPr>
        <w:spacing w:after="0"/>
        <w:ind w:left="0"/>
        <w:jc w:val="left"/>
      </w:pPr>
    </w:p>
    <w:p>
      <w:pPr>
        <w:spacing w:after="0"/>
        <w:ind w:left="0"/>
        <w:jc w:val="both"/>
      </w:pPr>
      <w:r>
        <w:rPr>
          <w:rFonts w:ascii="Times New Roman"/>
          <w:b w:val="false"/>
          <w:i w:val="false"/>
          <w:color w:val="000000"/>
          <w:sz w:val="28"/>
        </w:rPr>
        <w:t xml:space="preserve">
      Кеден одағы </w:t>
      </w:r>
      <w:r>
        <w:rPr>
          <w:rFonts w:ascii="Times New Roman"/>
          <w:b w:val="false"/>
          <w:i w:val="false"/>
          <w:color w:val="000000"/>
          <w:sz w:val="28"/>
        </w:rPr>
        <w:t>Кеден кодексінің</w:t>
      </w:r>
      <w:r>
        <w:rPr>
          <w:rFonts w:ascii="Times New Roman"/>
          <w:b w:val="false"/>
          <w:i w:val="false"/>
          <w:color w:val="000000"/>
          <w:sz w:val="28"/>
        </w:rPr>
        <w:t xml:space="preserve"> 52-бабы 7-тармағына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Сыртқы экономикалық қызметтің Тауар номенклатурасына Түсіндірмелердің І-негізгі қағидасына сәйкес, мынадай критерийлерге сәйкес келетін: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құбырдың шет-шетіне орналасқан дәнекерленген құлыптары, біреуінің сыртқы конустық бұрамасы, ал екіншісінің - ішкі конустық бұрамасы және кілт салатын ойығы бар нысаны жағынан бірдей ішкі және сыртқы беті, құбырдың бүкіл ұзындығын қуалай тұйықталған бір қуысы, құбырдың бүкіл ұзындығы бойынша тұрақты көлденең қимасы болатын жапсарсыз құбырды білдіретін;</w:t>
      </w:r>
    </w:p>
    <w:bookmarkStart w:name="z4" w:id="1"/>
    <w:p>
      <w:pPr>
        <w:spacing w:after="0"/>
        <w:ind w:left="0"/>
        <w:jc w:val="both"/>
      </w:pPr>
      <w:r>
        <w:rPr>
          <w:rFonts w:ascii="Times New Roman"/>
          <w:b w:val="false"/>
          <w:i w:val="false"/>
          <w:color w:val="000000"/>
          <w:sz w:val="28"/>
        </w:rPr>
        <w:t>
      б) болаттан құйып әзірленетін;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бұрғылау бағандарын ұзарту үшін, кенжынысын талқандаушы құралдың айналу сәтіндегі берілісіне, оның түсуі мен көтерілуіне арналған;</w:t>
      </w:r>
    </w:p>
    <w:bookmarkStart w:name="z6" w:id="2"/>
    <w:p>
      <w:pPr>
        <w:spacing w:after="0"/>
        <w:ind w:left="0"/>
        <w:jc w:val="both"/>
      </w:pPr>
      <w:r>
        <w:rPr>
          <w:rFonts w:ascii="Times New Roman"/>
          <w:b w:val="false"/>
          <w:i w:val="false"/>
          <w:color w:val="000000"/>
          <w:sz w:val="28"/>
        </w:rPr>
        <w:t>
      г) қажетті саны ұңғыманың ұзындығымен (тереңдігімен) айқындалатын жұмсалатын материал болып табылатын бұрғылау штангасы  Еуразиялық экономикалық одақтың сыртқы экономикалық қызметінің Бірыңғай тауар номенклатурасының 7304 тауар позициясында сыныпталады.</w:t>
      </w:r>
    </w:p>
    <w:bookmarkEnd w:id="2"/>
    <w:bookmarkStart w:name="z7"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