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730a" w14:textId="3b67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ыстықтай жатықталған болат бұрыштарға қатысты алдын ала демпингке қарсы бажды енгізу арқылы демпингке қарсы шараларды қолдану туралы</w:t>
      </w:r>
    </w:p>
    <w:p>
      <w:pPr>
        <w:spacing w:after="0"/>
        <w:ind w:left="0"/>
        <w:jc w:val="both"/>
      </w:pPr>
      <w:r>
        <w:rPr>
          <w:rFonts w:ascii="Times New Roman"/>
          <w:b w:val="false"/>
          <w:i w:val="false"/>
          <w:color w:val="000000"/>
          <w:sz w:val="28"/>
        </w:rPr>
        <w:t>Еуразиялық экономикалық комиссия Алқасының 2017 жылғы 11 мамырдағы № 53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78-тармағына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 баяндамасының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Украинада шығарылатын, Еуразиялық экономикалық одақтың кедендік аумағына әкелінетін ЕАЭО СЭҚ ТН 7216 21 000 0, 7216 40 100 0, 7216 50 100 0, 7216 50 990 0, 7228 70 100 0 кодтарымен сыныпталатын көміртекті, аз қоспаланған және қоспаланған (коррозияға берігін қоспағанда) болаттан жасалған, сөресінің ені 20-дан қоса алғанда 200 мм дейінгі ыстықтай жатықталған теңсөрелі болат бұрыштарға қатысты алдын ала демпингке қарсы бажды енгізу арқылы демпингке қарсы шараның қолданылу мерзімін 4 ай деп белгілей отырып, қосымшаға сәйкес мөлшерлерде демпингке қарсы шара қолданылсын.</w:t>
      </w:r>
    </w:p>
    <w:bookmarkEnd w:id="1"/>
    <w:bookmarkStart w:name="z3" w:id="2"/>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 ЕАЭО СЭҚ ТН кодтарын да, тауар атауын да басшылыққа ала отырып, осы Шешімде көзделген алдын ала демпингке қарсы бажды өндіріп алуды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11 мамырдағы</w:t>
            </w:r>
            <w:r>
              <w:br/>
            </w:r>
            <w:r>
              <w:rPr>
                <w:rFonts w:ascii="Times New Roman"/>
                <w:b w:val="false"/>
                <w:i w:val="false"/>
                <w:color w:val="000000"/>
                <w:sz w:val="20"/>
              </w:rPr>
              <w:t>№ 53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Алдын ала демпингке қарсы баж</w:t>
      </w:r>
      <w:r>
        <w:br/>
      </w:r>
      <w:r>
        <w:rPr>
          <w:rFonts w:ascii="Times New Roman"/>
          <w:b/>
          <w:i w:val="false"/>
          <w:color w:val="000000"/>
        </w:rPr>
        <w:t>СТАВКАЛАРЫНЫҢ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Алдын ала демпингке қарсы баж ставкасының мөлшері (кедендік құнның пайыздары)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аз қоспаланған және қоспаланған (коррозияға берігін қоспағанда) болаттан жасалған, сөресінің ені 20-дан қоса алғанда 200 мм дейінгі ыстықтай жатықталған теңсөрелі болат бұрыштар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"Енакиев металлургия зауыты" жеке меншік акционерлік қоғамы (Украина, 87504, Донецк облысы, Мариуполь қ., Ильич даңғылы, 54, 4-блок)</w:t>
            </w:r>
          </w:p>
          <w:p>
            <w:pPr>
              <w:spacing w:after="20"/>
              <w:ind w:left="20"/>
              <w:jc w:val="both"/>
            </w:pPr>
          </w:p>
          <w:p>
            <w:pPr>
              <w:spacing w:after="20"/>
              <w:ind w:left="20"/>
              <w:jc w:val="both"/>
            </w:pPr>
            <w:r>
              <w:rPr>
                <w:rFonts w:ascii="Times New Roman"/>
                <w:b w:val="false"/>
                <w:i w:val="false"/>
                <w:color w:val="000000"/>
                <w:sz w:val="20"/>
              </w:rPr>
              <w:t xml:space="preserve">
"Азовсталь" металлургия комбинаты" жеке меншік акционерлік қоғамы (Украина, 87500, Донецк облысы, </w:t>
            </w:r>
          </w:p>
          <w:p>
            <w:pPr>
              <w:spacing w:after="20"/>
              <w:ind w:left="20"/>
              <w:jc w:val="both"/>
            </w:pPr>
            <w:r>
              <w:rPr>
                <w:rFonts w:ascii="Times New Roman"/>
                <w:b w:val="false"/>
                <w:i w:val="false"/>
                <w:color w:val="000000"/>
                <w:sz w:val="20"/>
              </w:rPr>
              <w:t>Мариуполь қ., Лепорский көшесі,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37,89</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