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4cbe" w14:textId="ecf4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бүріккіш принтерге арналған сиялы картриджді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11 мамырдағы № 48 шешімі</w:t>
      </w:r>
    </w:p>
    <w:p>
      <w:pPr>
        <w:spacing w:after="0"/>
        <w:ind w:left="0"/>
        <w:jc w:val="left"/>
      </w:pPr>
    </w:p>
    <w:p>
      <w:pPr>
        <w:spacing w:after="0"/>
        <w:ind w:left="0"/>
        <w:jc w:val="both"/>
      </w:pPr>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Орнатуға арналған бекіту элементтерімен, сүзгімен, клапандармен, сондай-ақ картридждің типі, оны өндіруші және жұмсалған сияның көлемі туралы мәліметтерді қамтитын микросхемасы және байланыс клеммалары бар электрондық модульмен жабдықталған герметикалық пластмасса корпусты білдіретін сия құйылған бүріккіш принтерге арналған картридж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8443 99 900 0 кіші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