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915e" w14:textId="f389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877 шешімінің 3-тармағына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65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 жұмыс регламентінің № 2 қосымшасының 11-тармағына сәйкес, Еуразиялық экономикалық комиссия Кеңесінің 2012 жылғы 20 маусымдағы № 48 шешімімен бекітілген Кеден одағының техникалық регламентін әзірлеу, қабылдау, өзгерістер енгізу және жою тәртібі туралы ереженің 6-тармағын ескере отырып,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Кеден одағы Комиссиясының "Кеден одағының "Доңғалақты көлік құралдарының қауіпсіздігі туралы" техникалық регламентін қабылдау туралы" 2011 жылғы 9 желтоқсандағы № 877 шешімінің 3-тармағына мынадай өзгерістер енгізілсін:</w:t>
      </w:r>
    </w:p>
    <w:bookmarkEnd w:id="1"/>
    <w:bookmarkStart w:name="z3" w:id="2"/>
    <w:p>
      <w:pPr>
        <w:spacing w:after="0"/>
        <w:ind w:left="0"/>
        <w:jc w:val="both"/>
      </w:pPr>
      <w:r>
        <w:rPr>
          <w:rFonts w:ascii="Times New Roman"/>
          <w:b w:val="false"/>
          <w:i w:val="false"/>
          <w:color w:val="000000"/>
          <w:sz w:val="28"/>
        </w:rPr>
        <w:t>
      а) 3.2.2-тармақшадағы "Шешімдер" деген сөз "шешімдер" деген сөзбен ауыстырылсын;</w:t>
      </w:r>
    </w:p>
    <w:bookmarkEnd w:id="2"/>
    <w:bookmarkStart w:name="z2" w:id="3"/>
    <w:p>
      <w:pPr>
        <w:spacing w:after="0"/>
        <w:ind w:left="0"/>
        <w:jc w:val="both"/>
      </w:pPr>
      <w:r>
        <w:rPr>
          <w:rFonts w:ascii="Times New Roman"/>
          <w:b w:val="false"/>
          <w:i w:val="false"/>
          <w:color w:val="000000"/>
          <w:sz w:val="28"/>
        </w:rPr>
        <w:t>
      б) мынадай мазмұндағы 3.2.3 және 3.2.4-тармақшалармен толықтырылсын:</w:t>
      </w:r>
    </w:p>
    <w:bookmarkEnd w:id="3"/>
    <w:p>
      <w:pPr>
        <w:spacing w:after="0"/>
        <w:ind w:left="0"/>
        <w:jc w:val="both"/>
      </w:pPr>
      <w:r>
        <w:rPr>
          <w:rFonts w:ascii="Times New Roman"/>
          <w:b w:val="false"/>
          <w:i w:val="false"/>
          <w:color w:val="000000"/>
          <w:sz w:val="28"/>
        </w:rPr>
        <w:t>
      "3.2.3. Қазақстан Республикасы аумағында өндірілетін "Toyota" (коммерциялық атауы "Fortuner") көлік құралына қатысты Техникалық регламент күшіне енген күніне дейін берілген немесе қабылданған, Қазақстан Республикасының заңнамасымен белгіленген міндетті талаптарға сәйкестілікті бағалау (растау) туралы құжаттар қоса алғанда 2017 жылғы 28 наурызға дейін жарамды;</w:t>
      </w:r>
    </w:p>
    <w:p>
      <w:pPr>
        <w:spacing w:after="0"/>
        <w:ind w:left="0"/>
        <w:jc w:val="both"/>
      </w:pPr>
      <w:r>
        <w:rPr>
          <w:rFonts w:ascii="Times New Roman"/>
          <w:b w:val="false"/>
          <w:i w:val="false"/>
          <w:color w:val="000000"/>
          <w:sz w:val="28"/>
        </w:rPr>
        <w:t>
      3.2.4. 2016 жылғы 1 шілдеден бастап Қазақстан Республикасының аумағына айналымға шығарылған көлік құралдарының саны осы Шешімнің 3.2.3-тармақшасына сәйкес 1900 данадан аспауы тиіс;".</w:t>
      </w:r>
    </w:p>
    <w:bookmarkStart w:name="z4"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2016 жылғы 1 шілдеден бастап туындайтын құқықтық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