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54a7" w14:textId="8205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Украинадан шығарылатын және Еуразиялық экономикалық одақтың кедендік аумағына әкелінетін, коррозияға төзімді (тоттанбайтын) болаттан жасалған жіксіз құбырларға қатысты демпинге қарсы баж енгізу арқылы демпинге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қаңтардағы № 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26.02.2016 бастап күшіне енді-Еуразиялық экономикалық одақ сайты</w:t>
      </w: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1.Еуразиялық экономикалық одақтың кедендік аумағына әкелінетін, Украинадан шығарылатын, ЕАЭО СЭҚ ТН 7304 41 000 1, 7304 41 000 5, 7304 41 000 8, 7304 49 100 0, 7304 49 930 1, 7304 49 930 9, 7304 49 950 1, 7304 49 950 9, 7304 49 990 0, 7304 90 000 1, 7304 90 000 9 кодтарымен сыныпталатын, диаметрі қоса алғанда 426 мм дейінгі, коррозияға төзімді (тоттанбайтын) болаттан жасалған жіксіз құбырларға қатысты </w:t>
      </w:r>
      <w:r>
        <w:rPr>
          <w:rFonts w:ascii="Times New Roman"/>
          <w:b w:val="false"/>
          <w:i w:val="false"/>
          <w:color w:val="000000"/>
          <w:sz w:val="28"/>
        </w:rPr>
        <w:t>қосымшаға</w:t>
      </w:r>
      <w:r>
        <w:rPr>
          <w:rFonts w:ascii="Times New Roman"/>
          <w:b w:val="false"/>
          <w:i w:val="false"/>
          <w:color w:val="000000"/>
          <w:sz w:val="28"/>
        </w:rPr>
        <w:t xml:space="preserve"> сәйкес мөлшерде демпинге қарсы баж енгізу арқылы демпинге қарсы шара қолданылсын, демпинге қарсы осы шараның қолданылу мерзімі 5 жыл деп белгіленсін.</w:t>
      </w:r>
    </w:p>
    <w:bookmarkEnd w:id="1"/>
    <w:bookmarkStart w:name="z3" w:id="2"/>
    <w:p>
      <w:pPr>
        <w:spacing w:after="0"/>
        <w:ind w:left="0"/>
        <w:jc w:val="both"/>
      </w:pPr>
      <w:r>
        <w:rPr>
          <w:rFonts w:ascii="Times New Roman"/>
          <w:b w:val="false"/>
          <w:i w:val="false"/>
          <w:color w:val="000000"/>
          <w:sz w:val="28"/>
        </w:rPr>
        <w:t>
      2.Еуразиялық экономикалық одаққа мүше мемлекеттердің кеден ісі саласындағы уәкілеттік берілген мемлекеттік органдары ЕАЭО СЭҚ ТН кодтарын да, тауардың атауын да басшылыққа алып, осы Шешімде көзделген демпинге қарсы баждың алынуын қамтамасыз етсін.</w:t>
      </w:r>
    </w:p>
    <w:bookmarkEnd w:id="2"/>
    <w:bookmarkStart w:name="z4" w:id="3"/>
    <w:p>
      <w:pPr>
        <w:spacing w:after="0"/>
        <w:ind w:left="0"/>
        <w:jc w:val="both"/>
      </w:pPr>
      <w:r>
        <w:rPr>
          <w:rFonts w:ascii="Times New Roman"/>
          <w:b w:val="false"/>
          <w:i w:val="false"/>
          <w:color w:val="000000"/>
          <w:sz w:val="28"/>
        </w:rPr>
        <w:t>
      3.Осы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26 қарашадағы </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Демпинге қарсы баж</w:t>
      </w:r>
    </w:p>
    <w:bookmarkEnd w:id="4"/>
    <w:bookmarkStart w:name="z7" w:id="5"/>
    <w:p>
      <w:pPr>
        <w:spacing w:after="0"/>
        <w:ind w:left="0"/>
        <w:jc w:val="left"/>
      </w:pPr>
      <w:r>
        <w:rPr>
          <w:rFonts w:ascii="Times New Roman"/>
          <w:b/>
          <w:i w:val="false"/>
          <w:color w:val="000000"/>
        </w:rPr>
        <w:t xml:space="preserve"> СТАВКАЛАРЫНЫҢ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Демпинге қарсы баж ставкаларының мөлшері (кедендік құнының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қоса алғанда 426 мм дейінгі, коррозияға төзімді </w:t>
            </w:r>
          </w:p>
          <w:p>
            <w:pPr>
              <w:spacing w:after="20"/>
              <w:ind w:left="20"/>
              <w:jc w:val="both"/>
            </w:pPr>
            <w:r>
              <w:rPr>
                <w:rFonts w:ascii="Times New Roman"/>
                <w:b w:val="false"/>
                <w:i w:val="false"/>
                <w:color w:val="000000"/>
                <w:sz w:val="20"/>
              </w:rPr>
              <w:t>(тоттанбайтын) болаттан жасалған жіксіз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"Сентравис Продакшн Юкрейн" жеке акционерлік қоғамы (53201, Украина, Днепропетровск облысы, </w:t>
            </w:r>
          </w:p>
          <w:p>
            <w:pPr>
              <w:spacing w:after="20"/>
              <w:ind w:left="20"/>
              <w:jc w:val="both"/>
            </w:pPr>
            <w:r>
              <w:rPr>
                <w:rFonts w:ascii="Times New Roman"/>
                <w:b w:val="false"/>
                <w:i w:val="false"/>
                <w:color w:val="000000"/>
                <w:sz w:val="20"/>
              </w:rPr>
              <w:t xml:space="preserve">Никополь қаласы, </w:t>
            </w:r>
          </w:p>
          <w:p>
            <w:pPr>
              <w:spacing w:after="20"/>
              <w:ind w:left="20"/>
              <w:jc w:val="both"/>
            </w:pPr>
            <w:r>
              <w:rPr>
                <w:rFonts w:ascii="Times New Roman"/>
                <w:b w:val="false"/>
                <w:i w:val="false"/>
                <w:color w:val="000000"/>
                <w:sz w:val="20"/>
              </w:rPr>
              <w:t>Трубниктер даңғылы,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"Интерпайп Нико Тьюб" жауапкершілігі шектеулі қоғамы</w:t>
            </w:r>
          </w:p>
          <w:p>
            <w:pPr>
              <w:spacing w:after="20"/>
              <w:ind w:left="20"/>
              <w:jc w:val="both"/>
            </w:pPr>
            <w:r>
              <w:rPr>
                <w:rFonts w:ascii="Times New Roman"/>
                <w:b w:val="false"/>
                <w:i w:val="false"/>
                <w:color w:val="000000"/>
                <w:sz w:val="20"/>
              </w:rPr>
              <w:t xml:space="preserve">
(53201, Украина, Днепропетровск облысы, </w:t>
            </w:r>
          </w:p>
          <w:p>
            <w:pPr>
              <w:spacing w:after="20"/>
              <w:ind w:left="20"/>
              <w:jc w:val="both"/>
            </w:pPr>
            <w:r>
              <w:rPr>
                <w:rFonts w:ascii="Times New Roman"/>
                <w:b w:val="false"/>
                <w:i w:val="false"/>
                <w:color w:val="000000"/>
                <w:sz w:val="20"/>
              </w:rPr>
              <w:t xml:space="preserve">Никополь қаласы, </w:t>
            </w:r>
          </w:p>
          <w:p>
            <w:pPr>
              <w:spacing w:after="20"/>
              <w:ind w:left="20"/>
              <w:jc w:val="both"/>
            </w:pPr>
            <w:r>
              <w:rPr>
                <w:rFonts w:ascii="Times New Roman"/>
                <w:b w:val="false"/>
                <w:i w:val="false"/>
                <w:color w:val="000000"/>
                <w:sz w:val="20"/>
              </w:rPr>
              <w:t>Трубниктер даңғылы,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"ОСКАР" өндірістік бірлестігі" жауапкершілігі шектеулі қоғамы</w:t>
            </w:r>
          </w:p>
          <w:p>
            <w:pPr>
              <w:spacing w:after="20"/>
              <w:ind w:left="20"/>
              <w:jc w:val="both"/>
            </w:pPr>
            <w:r>
              <w:rPr>
                <w:rFonts w:ascii="Times New Roman"/>
                <w:b w:val="false"/>
                <w:i w:val="false"/>
                <w:color w:val="000000"/>
                <w:sz w:val="20"/>
              </w:rPr>
              <w:t xml:space="preserve">
(49044, Украина, Днепропетровск қаласы, </w:t>
            </w:r>
          </w:p>
          <w:p>
            <w:pPr>
              <w:spacing w:after="20"/>
              <w:ind w:left="20"/>
              <w:jc w:val="both"/>
            </w:pPr>
            <w:r>
              <w:rPr>
                <w:rFonts w:ascii="Times New Roman"/>
                <w:b w:val="false"/>
                <w:i w:val="false"/>
                <w:color w:val="000000"/>
                <w:sz w:val="20"/>
              </w:rPr>
              <w:t>Екатеринославский бульвары, 2-үй, 500-офис)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