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504fa" w14:textId="d1504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Сыртқы экономикалық қызметті реттеу жүйесінде "бірыңғай терезе" тетігін дамытудың негізгі бағыттарын іске асыру жөніндегі іс-шаралар жоспарын орындау бойынша 2015 жылға арналған егжей-тегжейлі жоспар туралы</w:t>
      </w:r>
    </w:p>
    <w:p>
      <w:pPr>
        <w:spacing w:after="0"/>
        <w:ind w:left="0"/>
        <w:jc w:val="both"/>
      </w:pPr>
      <w:r>
        <w:rPr>
          <w:rFonts w:ascii="Times New Roman"/>
          <w:b w:val="false"/>
          <w:i w:val="false"/>
          <w:color w:val="000000"/>
          <w:sz w:val="28"/>
        </w:rPr>
        <w:t>Еуразиялық экономикалық Кеңестің 2015 жылғы 4 ақпандағы № 4 Шешімі</w:t>
      </w:r>
    </w:p>
    <w:p>
      <w:pPr>
        <w:spacing w:after="0"/>
        <w:ind w:left="0"/>
        <w:jc w:val="both"/>
      </w:pPr>
      <w:bookmarkStart w:name="z1" w:id="0"/>
      <w:r>
        <w:rPr>
          <w:rFonts w:ascii="Times New Roman"/>
          <w:b w:val="false"/>
          <w:i w:val="false"/>
          <w:color w:val="000000"/>
          <w:sz w:val="28"/>
        </w:rPr>
        <w:t>
      Еуразиялық экономикалық комиссия Алқасының Сыртқы экономикалық қызметті реттеу жүйесінде "бірыңғай терезе" тетігін дамытудың негізгі бағыттарын іске асыру жөніндегі іс-шаралар жоспарының орындалуын қамтамасыз ету жөніндегі шаралар туралы ақпаратын назарға ала отырып, Еуразиялық экономикалық комиссияның Кеңесі шешті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Сыртқы экономикалық қызметті реттеу жүйесінде "бірыңғай терезе"  тетігін дамытудың  негізгі бағыттарын іске асыру жөніндегі  іс-шаралар жоспарын орындау бойынша 2015 жылға арналған қоса беріліп отырған егжей-тегжейлі </w:t>
      </w:r>
      <w:r>
        <w:rPr>
          <w:rFonts w:ascii="Times New Roman"/>
          <w:b w:val="false"/>
          <w:i w:val="false"/>
          <w:color w:val="000000"/>
          <w:sz w:val="28"/>
        </w:rPr>
        <w:t>жоспар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p>
      <w:pPr>
        <w:spacing w:after="0"/>
        <w:ind w:left="0"/>
        <w:jc w:val="both"/>
      </w:pPr>
      <w:r>
        <w:rPr>
          <w:rFonts w:ascii="Times New Roman"/>
          <w:b w:val="false"/>
          <w:i w:val="false"/>
          <w:color w:val="000000"/>
          <w:sz w:val="28"/>
        </w:rPr>
        <w:t>
      Еуразиялық экономикалық комиссия Кеңесінің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Армения</w:t>
            </w:r>
          </w:p>
          <w:p>
            <w:pPr>
              <w:spacing w:after="20"/>
              <w:ind w:left="20"/>
              <w:jc w:val="both"/>
            </w:pPr>
            <w:r>
              <w:rPr>
                <w:rFonts w:ascii="Times New Roman"/>
                <w:b/>
                <w:i w:val="false"/>
                <w:color w:val="000000"/>
                <w:sz w:val="20"/>
              </w:rPr>
              <w:t>Республикасынан</w:t>
            </w:r>
          </w:p>
          <w:p>
            <w:pPr>
              <w:spacing w:after="20"/>
              <w:ind w:left="20"/>
              <w:jc w:val="both"/>
            </w:pPr>
            <w:r>
              <w:rPr>
                <w:rFonts w:ascii="Times New Roman"/>
                <w:b/>
                <w:i w:val="false"/>
                <w:color w:val="000000"/>
                <w:sz w:val="20"/>
              </w:rPr>
              <w:t>В. Габриелян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Беларусь</w:t>
            </w:r>
            <w:r>
              <w:rPr>
                <w:rFonts w:ascii="Times New Roman"/>
                <w:b/>
                <w:i w:val="false"/>
                <w:color w:val="000000"/>
                <w:sz w:val="20"/>
              </w:rPr>
              <w:t xml:space="preserve"> Республикасынан</w:t>
            </w:r>
          </w:p>
          <w:p>
            <w:pPr>
              <w:spacing w:after="20"/>
              <w:ind w:left="20"/>
              <w:jc w:val="both"/>
            </w:pPr>
            <w:r>
              <w:rPr>
                <w:rFonts w:ascii="Times New Roman"/>
                <w:b/>
                <w:i w:val="false"/>
                <w:color w:val="000000"/>
                <w:sz w:val="20"/>
              </w:rPr>
              <w:t>В. </w:t>
            </w:r>
            <w:r>
              <w:rPr>
                <w:rFonts w:ascii="Times New Roman"/>
                <w:b/>
                <w:i w:val="false"/>
                <w:color w:val="000000"/>
                <w:sz w:val="20"/>
              </w:rPr>
              <w:t>Матюшевский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Республикасынан</w:t>
            </w:r>
          </w:p>
          <w:p>
            <w:pPr>
              <w:spacing w:after="20"/>
              <w:ind w:left="20"/>
              <w:jc w:val="both"/>
            </w:pPr>
            <w:r>
              <w:rPr>
                <w:rFonts w:ascii="Times New Roman"/>
                <w:b/>
                <w:i w:val="false"/>
                <w:color w:val="000000"/>
                <w:sz w:val="20"/>
              </w:rPr>
              <w:t>Б. </w:t>
            </w:r>
            <w:r>
              <w:rPr>
                <w:rFonts w:ascii="Times New Roman"/>
                <w:b/>
                <w:i w:val="false"/>
                <w:color w:val="000000"/>
                <w:sz w:val="20"/>
              </w:rPr>
              <w:t>Са</w:t>
            </w:r>
            <w:r>
              <w:rPr>
                <w:rFonts w:ascii="Times New Roman"/>
                <w:b/>
                <w:i w:val="false"/>
                <w:color w:val="000000"/>
                <w:sz w:val="20"/>
              </w:rPr>
              <w:t>ғы</w:t>
            </w:r>
            <w:r>
              <w:rPr>
                <w:rFonts w:ascii="Times New Roman"/>
                <w:b/>
                <w:i w:val="false"/>
                <w:color w:val="000000"/>
                <w:sz w:val="20"/>
              </w:rPr>
              <w:t>нтаев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 Федерациясынан</w:t>
            </w:r>
          </w:p>
          <w:p>
            <w:pPr>
              <w:spacing w:after="20"/>
              <w:ind w:left="20"/>
              <w:jc w:val="both"/>
            </w:pPr>
            <w:r>
              <w:rPr>
                <w:rFonts w:ascii="Times New Roman"/>
                <w:b/>
                <w:i w:val="false"/>
                <w:color w:val="000000"/>
                <w:sz w:val="20"/>
              </w:rPr>
              <w:t>И. Шувалов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комиссия</w:t>
            </w:r>
            <w:r>
              <w:br/>
            </w:r>
            <w:r>
              <w:rPr>
                <w:rFonts w:ascii="Times New Roman"/>
                <w:b w:val="false"/>
                <w:i w:val="false"/>
                <w:color w:val="000000"/>
                <w:sz w:val="20"/>
              </w:rPr>
              <w:t>Кеңесінің 2015 жылғы 4 ақпандағы</w:t>
            </w:r>
            <w:r>
              <w:br/>
            </w:r>
            <w:r>
              <w:rPr>
                <w:rFonts w:ascii="Times New Roman"/>
                <w:b w:val="false"/>
                <w:i w:val="false"/>
                <w:color w:val="000000"/>
                <w:sz w:val="20"/>
              </w:rPr>
              <w:t xml:space="preserve">№ 4 шешімімен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Сыртқы экономикалық қызметті реттеу жүйесінде "бірыңғай терезе" тетігін дамытудың негізгі бағыттарын іске асыру жөніндегі іс-шаралар жоспарын орындау бойынша 2015 ЖЫЛҒА АРНАЛҒАН ЕГЖЕЙ-ТЕГЖЕЙЛІ ЖОСПАР</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Жоспарланып отырған нәтиже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"Бірыңғай терезе" ұлттық тетіктерін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Мүше мемлекеттердің заңнамасы мен халықаралық практикада "бірыңғай терезе" тетігінің сипаттамасында пайдаланылатын терминдерді салыстыру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ІІ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(бұдан әрі – Комиссия),  Еуразиялық экономикалық одаққа мүше мемлекеттер (бұдан әрі –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 кесте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Сыртқы экономикалық қызметпен байланысты  мемлекеттік рәсімдер мен бизнес-процестерді модельдеудегі және талдаудағы мүше мемлекеттердің тәсілдерін келісу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Сыртқы экономикалық қызметпен байланысты мемлекеттік рәсімдер мен бизнес-процестерді, оның ішінде  мүше мемлекеттердегі  тиісті әдістемелер мен  нұсқаулықтарды (олар болған кезде) талдау тәсілдерін зерделеу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сәуір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Комиссия мен мүше мелекеттер сарапшыларының қатысуымен, сыртқы экономикалық қызметпен байланысты мемлекеттік рәсімдер мен бизнес-процестерді модельдеу мен талдау жөніндегі оқыту семинарын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мамыр-маусым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БҰҰ Еуропалық экономикалық комиссиясы, </w:t>
            </w:r>
          </w:p>
          <w:p>
            <w:pPr>
              <w:spacing w:after="20"/>
              <w:ind w:left="20"/>
              <w:jc w:val="both"/>
            </w:pPr>
            <w:r>
              <w:rPr>
                <w:rFonts w:ascii="Times New Roman"/>
                <w:b w:val="false"/>
                <w:i w:val="false"/>
                <w:color w:val="000000"/>
                <w:sz w:val="20"/>
              </w:rPr>
              <w:t>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 өткізу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"Бірыңғай терезе" ұлттық тетіктерінің даму жай-күйін бағалау әдістемесін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"Бірыңғай терезе" ұлттық тетіктерінің  даму жай-күйін бағалау үшін объектіні (объектілерді)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мамыр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әдістемесінде ескеріледі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"Бірыңғай терезе" ұлттық тетіктерінің даму жай-күйін бағалау мақсатында басым  экспорттық, импорттық және транзиттік операциялар тізбесін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шілде-тамыз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әдістемесінде ескеріледі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"Бірыңғай терезе" ұлттық тетіктерінің даму жай-күйін бағалау мақсатында сыртқы экономикалық қызметті реттеу салаларының тізбесін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маусым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Бизнес-процестер кластерлерінің матрицасы (бағалау әдістемесінде ескеріледі)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"Бірыңғай терезе" ұлттық тетіктерінің даму жай-күйін бағалау әдістемесін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қыркүйек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(бұдан әрі – Одақ) органының актісі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Әзірленген әдістемеге сәйкес "бірыңғай терезе" ұлттық тетіктерінің даму жай-күйін талдауды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"Бірыңғай терезе" ұлттық тетіктерін енгізу және дамыту жөніндегі мүше мемлекеттердің нормативтік құқықтық актілеріне талдау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Мүше мемлекеттерде "бірыңғай терезе" ұлттық тетіктерінің қамтылу саласын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Осы жоспардың  1.4.1-тармағына сәйкес сыртқы экономикалық қызметпен байланысты қолданыстағы мемлекеттік рәсімдер мен бизнес-процестерді, оларды автоматтандыру дәрежесі мен деңгейін талдау. Қағаз жеткізгіштегі құжаттардан  электрондық құжаттарға көшу кезінде "тар жерлерді"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Сыртқы экономикалық қызметті жүзеге асыру үшін қажетті  құжаттарда қамтылған мәліметтерді  үндестіру және  барынша азайту мүмкіндіктерін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Электрондық түрде міндетті төлемдерді төлеу практикасын және "бірыңғай терезе" ұлттық тетіктері шеңберінде  осындай қызметті көрсету мүмкіндігін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"Бірыңғай терезе" ұлттық тетігі порталын  мүше мемлекеттерде құрудың  техникалық мүмкіндіктері мен құқықтық негіздерін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"Бірыңғай терезе" ұлттық тетіктерін құруға бағытталған ұлттық жобалардың мақсатын (нысаналы көрсеткіштерін)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"Бірыңғай терезе" оқшауланған тетіктерін дамыту жөніндегі қабылданған ұлттық бағдарламаларды зерделеу. Оларды "бірыңғай терезе" ұлттық тетігінің бірыңғай жүйесіне  интеграциялау қажеттігін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"Бірыңғай терезе" ұлттық тетіктерінің күшті және әлсіз жақтарын, даму мүмкіндіктері мен перспективаларын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"Бірыңғай терезе" ұлттық тетіктерінің даму жай-күйін бағалау  нәтижелерін жинау және қорыту. Сыртқы экономикалық қызметпен байланысты  мемлекеттік рәсімдер мен бизнес-процестерді оңтайландыру бойынша, сондай-ақ  "бірыңғай терезе" ұлттық тетіктерін дамыту  жөнінде әрбір мүше мемлекет бойынша қорытындылар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IV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мүше мемлекет бойынша ұсынымдар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"Бірыңғай терезе" ұлттық тетегінің  этолондық моделінің функциялары мен сәулетін егжей-тегжейлі сипаттауды, ұлтүсті сегментін ескере отырып,  осы этолондық модельде қамтылатын мемлекеттік рәсімдер мен көрсетілетін қызметтердің тізбесін әзірлеу және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IV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Кеңесі шешімінің жобасын дайындау барысы туралы анықтама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"Бірыңғай терезе" ұлттық тетіктерін әзірлеу, енгізу және оңтайландыру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"Бірыңғай терезе" ұлттық тетіктерін  дамыту тұжырымдамасын жасау және пысықтау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терезе" ұлттық тетіктерін дамыту тұжырымдамасы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"Бірыңғай терезе" ұлттық тетіктерін жасау  жөніндегі  іс-шаралар жоспарларын ("жол карталарын")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терезе" ұлттық тетіктерін жасау жөніндегі  іс-шаралар жоспарларын ("жол карталарын") дайындау жөніндегі аралық есеп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"Бірыңғай терезе" ұлттық тетіктерін енгізудің  пилоттық жобаларын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пилоттық жобаларды іске асыру жөніндегі аралық есеп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"Бірыңғай терезе" ұлттық тетіктерін дамыту жөніндегі тәсілдерді жақындастыру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"Бірыңғай терезе" ұлттық тетіктерін дамыту жөніндегі  тәсілдерді жақындастырудың  басым бағыттарын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IV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Сыртқы экономикалық қызметті жүзеге асыру үшін қажетті электрондық құжаттарды өзара тану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Сыртқы экономикалық қызметті жүзеге асыру үшін қажетті  құжаттар мен мәліметтерді талдау және  Одақ құқығына кіретін актілер мен  мүше мемлекеттердің заңнамасына құжаттардағы мәліметтерді біріздендіру және үндестіру мақсатында  өзгерістер енгізу қажеттігін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 Одақтың құқығына кіретін актілер мен  мүше мемлекеттердің заңнамасына, қамтылған мәліметтерді  біріздендіруге және үндестіруге бағытталған өзгерістер енгізу қажет  құжаттарды айқындау мақсатында  талдау жүргізу тәсілдерін келісу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шілде-тамыз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органының актісі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Одақтың құқығына кіретін актілер мен  мүше мемлекеттердің заңнамасын, қамтылған мәліметтерді  біріздендіруге және үндестіруге бағытталған өзгерістер енгізу қажет, мемлекеттік реттеудің мынадай:</w:t>
            </w:r>
          </w:p>
          <w:p>
            <w:pPr>
              <w:spacing w:after="20"/>
              <w:ind w:left="20"/>
              <w:jc w:val="both"/>
            </w:pPr>
            <w:r>
              <w:rPr>
                <w:rFonts w:ascii="Times New Roman"/>
                <w:b w:val="false"/>
                <w:i w:val="false"/>
                <w:color w:val="000000"/>
                <w:sz w:val="20"/>
              </w:rPr>
              <w:t>
кедендік реттеу;</w:t>
            </w:r>
          </w:p>
          <w:p>
            <w:pPr>
              <w:spacing w:after="20"/>
              <w:ind w:left="20"/>
              <w:jc w:val="both"/>
            </w:pPr>
            <w:r>
              <w:rPr>
                <w:rFonts w:ascii="Times New Roman"/>
                <w:b w:val="false"/>
                <w:i w:val="false"/>
                <w:color w:val="000000"/>
                <w:sz w:val="20"/>
              </w:rPr>
              <w:t>
валюталық ретттеу;</w:t>
            </w:r>
          </w:p>
          <w:p>
            <w:pPr>
              <w:spacing w:after="20"/>
              <w:ind w:left="20"/>
              <w:jc w:val="both"/>
            </w:pPr>
            <w:r>
              <w:rPr>
                <w:rFonts w:ascii="Times New Roman"/>
                <w:b w:val="false"/>
                <w:i w:val="false"/>
                <w:color w:val="000000"/>
                <w:sz w:val="20"/>
              </w:rPr>
              <w:t>
салықтық реттеу;</w:t>
            </w:r>
          </w:p>
          <w:p>
            <w:pPr>
              <w:spacing w:after="20"/>
              <w:ind w:left="20"/>
              <w:jc w:val="both"/>
            </w:pPr>
            <w:r>
              <w:rPr>
                <w:rFonts w:ascii="Times New Roman"/>
                <w:b w:val="false"/>
                <w:i w:val="false"/>
                <w:color w:val="000000"/>
                <w:sz w:val="20"/>
              </w:rPr>
              <w:t>
кедендік-тарифтік реттеу;</w:t>
            </w:r>
          </w:p>
          <w:p>
            <w:pPr>
              <w:spacing w:after="20"/>
              <w:ind w:left="20"/>
              <w:jc w:val="both"/>
            </w:pPr>
            <w:r>
              <w:rPr>
                <w:rFonts w:ascii="Times New Roman"/>
                <w:b w:val="false"/>
                <w:i w:val="false"/>
                <w:color w:val="000000"/>
                <w:sz w:val="20"/>
              </w:rPr>
              <w:t>
тарифтік емес реттеу;</w:t>
            </w:r>
          </w:p>
          <w:p>
            <w:pPr>
              <w:spacing w:after="20"/>
              <w:ind w:left="20"/>
              <w:jc w:val="both"/>
            </w:pPr>
            <w:r>
              <w:rPr>
                <w:rFonts w:ascii="Times New Roman"/>
                <w:b w:val="false"/>
                <w:i w:val="false"/>
                <w:color w:val="000000"/>
                <w:sz w:val="20"/>
              </w:rPr>
              <w:t>
техникалық реттеу;</w:t>
            </w:r>
          </w:p>
          <w:p>
            <w:pPr>
              <w:spacing w:after="20"/>
              <w:ind w:left="20"/>
              <w:jc w:val="both"/>
            </w:pPr>
            <w:r>
              <w:rPr>
                <w:rFonts w:ascii="Times New Roman"/>
                <w:b w:val="false"/>
                <w:i w:val="false"/>
                <w:color w:val="000000"/>
                <w:sz w:val="20"/>
              </w:rPr>
              <w:t>
саниатриялық, ветеринариялық-санитариялық, карантиндік фитосанитариялық шаралар;</w:t>
            </w:r>
          </w:p>
          <w:p>
            <w:pPr>
              <w:spacing w:after="20"/>
              <w:ind w:left="20"/>
              <w:jc w:val="both"/>
            </w:pPr>
            <w:r>
              <w:rPr>
                <w:rFonts w:ascii="Times New Roman"/>
                <w:b w:val="false"/>
                <w:i w:val="false"/>
                <w:color w:val="000000"/>
                <w:sz w:val="20"/>
              </w:rPr>
              <w:t>
қаржылық (банктік, сақтандыру) қызметтер көрсету;</w:t>
            </w:r>
          </w:p>
          <w:p>
            <w:pPr>
              <w:spacing w:after="20"/>
              <w:ind w:left="20"/>
              <w:jc w:val="both"/>
            </w:pPr>
            <w:r>
              <w:rPr>
                <w:rFonts w:ascii="Times New Roman"/>
                <w:b w:val="false"/>
                <w:i w:val="false"/>
                <w:color w:val="000000"/>
                <w:sz w:val="20"/>
              </w:rPr>
              <w:t>
көлік және тасымалдау;</w:t>
            </w:r>
          </w:p>
          <w:p>
            <w:pPr>
              <w:spacing w:after="20"/>
              <w:ind w:left="20"/>
              <w:jc w:val="both"/>
            </w:pPr>
            <w:r>
              <w:rPr>
                <w:rFonts w:ascii="Times New Roman"/>
                <w:b w:val="false"/>
                <w:i w:val="false"/>
                <w:color w:val="000000"/>
                <w:sz w:val="20"/>
              </w:rPr>
              <w:t xml:space="preserve">
зияткерлік меншік құқықтарын қорғау және сақтау салаларындағы  құжаттарды айқындау мақсатында талдау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Сыртқы экономикалық қызметті, оның ішінде халықаралық стандарттарға сәйкес жүзеге асыру үшін қажетті құжаттардағы мәліметтерді  біріздендіру және үндестіру  дәрежесі  мен мүмкіндігін бағалау тәсілдерін келісу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шілде-тамыз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органының актісі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3.1.4. Сыртқы экономикалық қызметті, оның ішінде  халықаралық стандарттарға сәйкес жүзеге асыру үшін қажетті,  мемлекеттік реттеудің мынадай: </w:t>
            </w:r>
          </w:p>
          <w:p>
            <w:pPr>
              <w:spacing w:after="20"/>
              <w:ind w:left="20"/>
              <w:jc w:val="both"/>
            </w:pPr>
            <w:r>
              <w:rPr>
                <w:rFonts w:ascii="Times New Roman"/>
                <w:b w:val="false"/>
                <w:i w:val="false"/>
                <w:color w:val="000000"/>
                <w:sz w:val="20"/>
              </w:rPr>
              <w:t>
кедендік реттеу;</w:t>
            </w:r>
          </w:p>
          <w:p>
            <w:pPr>
              <w:spacing w:after="20"/>
              <w:ind w:left="20"/>
              <w:jc w:val="both"/>
            </w:pPr>
            <w:r>
              <w:rPr>
                <w:rFonts w:ascii="Times New Roman"/>
                <w:b w:val="false"/>
                <w:i w:val="false"/>
                <w:color w:val="000000"/>
                <w:sz w:val="20"/>
              </w:rPr>
              <w:t>
валюталық ретттеу;</w:t>
            </w:r>
          </w:p>
          <w:p>
            <w:pPr>
              <w:spacing w:after="20"/>
              <w:ind w:left="20"/>
              <w:jc w:val="both"/>
            </w:pPr>
            <w:r>
              <w:rPr>
                <w:rFonts w:ascii="Times New Roman"/>
                <w:b w:val="false"/>
                <w:i w:val="false"/>
                <w:color w:val="000000"/>
                <w:sz w:val="20"/>
              </w:rPr>
              <w:t>
салықтық реттеу;</w:t>
            </w:r>
          </w:p>
          <w:p>
            <w:pPr>
              <w:spacing w:after="20"/>
              <w:ind w:left="20"/>
              <w:jc w:val="both"/>
            </w:pPr>
            <w:r>
              <w:rPr>
                <w:rFonts w:ascii="Times New Roman"/>
                <w:b w:val="false"/>
                <w:i w:val="false"/>
                <w:color w:val="000000"/>
                <w:sz w:val="20"/>
              </w:rPr>
              <w:t>
кедендік-тарифтік реттеу;</w:t>
            </w:r>
          </w:p>
          <w:p>
            <w:pPr>
              <w:spacing w:after="20"/>
              <w:ind w:left="20"/>
              <w:jc w:val="both"/>
            </w:pPr>
            <w:r>
              <w:rPr>
                <w:rFonts w:ascii="Times New Roman"/>
                <w:b w:val="false"/>
                <w:i w:val="false"/>
                <w:color w:val="000000"/>
                <w:sz w:val="20"/>
              </w:rPr>
              <w:t>
тарифтік емес реттеу;</w:t>
            </w:r>
          </w:p>
          <w:p>
            <w:pPr>
              <w:spacing w:after="20"/>
              <w:ind w:left="20"/>
              <w:jc w:val="both"/>
            </w:pPr>
            <w:r>
              <w:rPr>
                <w:rFonts w:ascii="Times New Roman"/>
                <w:b w:val="false"/>
                <w:i w:val="false"/>
                <w:color w:val="000000"/>
                <w:sz w:val="20"/>
              </w:rPr>
              <w:t>
техникалық реттеу;</w:t>
            </w:r>
          </w:p>
          <w:p>
            <w:pPr>
              <w:spacing w:after="20"/>
              <w:ind w:left="20"/>
              <w:jc w:val="both"/>
            </w:pPr>
            <w:r>
              <w:rPr>
                <w:rFonts w:ascii="Times New Roman"/>
                <w:b w:val="false"/>
                <w:i w:val="false"/>
                <w:color w:val="000000"/>
                <w:sz w:val="20"/>
              </w:rPr>
              <w:t>
саниатриялық, ветеринариялық-санитариялық, карантиндік фитосанитариялық шаралар;</w:t>
            </w:r>
          </w:p>
          <w:p>
            <w:pPr>
              <w:spacing w:after="20"/>
              <w:ind w:left="20"/>
              <w:jc w:val="both"/>
            </w:pPr>
            <w:r>
              <w:rPr>
                <w:rFonts w:ascii="Times New Roman"/>
                <w:b w:val="false"/>
                <w:i w:val="false"/>
                <w:color w:val="000000"/>
                <w:sz w:val="20"/>
              </w:rPr>
              <w:t>
қаржылық (банктік, сақтандыру) қызметтер көрсету;</w:t>
            </w:r>
          </w:p>
          <w:p>
            <w:pPr>
              <w:spacing w:after="20"/>
              <w:ind w:left="20"/>
              <w:jc w:val="both"/>
            </w:pPr>
            <w:r>
              <w:rPr>
                <w:rFonts w:ascii="Times New Roman"/>
                <w:b w:val="false"/>
                <w:i w:val="false"/>
                <w:color w:val="000000"/>
                <w:sz w:val="20"/>
              </w:rPr>
              <w:t>
көлік және тасымалдау;</w:t>
            </w:r>
          </w:p>
          <w:p>
            <w:pPr>
              <w:spacing w:after="20"/>
              <w:ind w:left="20"/>
              <w:jc w:val="both"/>
            </w:pPr>
            <w:r>
              <w:rPr>
                <w:rFonts w:ascii="Times New Roman"/>
                <w:b w:val="false"/>
                <w:i w:val="false"/>
                <w:color w:val="000000"/>
                <w:sz w:val="20"/>
              </w:rPr>
              <w:t xml:space="preserve">
зияткерлік меншік құқықтарын қорғау және сақтау салаларындағы  құжаттардағы мәліметтерді біріздендіру және үндестіру дәрежесі мен мүмкіндігін бағалау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Электрондық құжаттарды ресімдеу мүмкіндігін бағалау тәсілдерін келісу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шілде-тамыз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органының актісі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3.1.6. Мемлекеттік реттеудің мынадай: </w:t>
            </w:r>
          </w:p>
          <w:p>
            <w:pPr>
              <w:spacing w:after="20"/>
              <w:ind w:left="20"/>
              <w:jc w:val="both"/>
            </w:pPr>
            <w:r>
              <w:rPr>
                <w:rFonts w:ascii="Times New Roman"/>
                <w:b w:val="false"/>
                <w:i w:val="false"/>
                <w:color w:val="000000"/>
                <w:sz w:val="20"/>
              </w:rPr>
              <w:t>
кедендік реттеу;</w:t>
            </w:r>
          </w:p>
          <w:p>
            <w:pPr>
              <w:spacing w:after="20"/>
              <w:ind w:left="20"/>
              <w:jc w:val="both"/>
            </w:pPr>
            <w:r>
              <w:rPr>
                <w:rFonts w:ascii="Times New Roman"/>
                <w:b w:val="false"/>
                <w:i w:val="false"/>
                <w:color w:val="000000"/>
                <w:sz w:val="20"/>
              </w:rPr>
              <w:t>
валюталық ретттеу;</w:t>
            </w:r>
          </w:p>
          <w:p>
            <w:pPr>
              <w:spacing w:after="20"/>
              <w:ind w:left="20"/>
              <w:jc w:val="both"/>
            </w:pPr>
            <w:r>
              <w:rPr>
                <w:rFonts w:ascii="Times New Roman"/>
                <w:b w:val="false"/>
                <w:i w:val="false"/>
                <w:color w:val="000000"/>
                <w:sz w:val="20"/>
              </w:rPr>
              <w:t>
салықтық реттеу;</w:t>
            </w:r>
          </w:p>
          <w:p>
            <w:pPr>
              <w:spacing w:after="20"/>
              <w:ind w:left="20"/>
              <w:jc w:val="both"/>
            </w:pPr>
            <w:r>
              <w:rPr>
                <w:rFonts w:ascii="Times New Roman"/>
                <w:b w:val="false"/>
                <w:i w:val="false"/>
                <w:color w:val="000000"/>
                <w:sz w:val="20"/>
              </w:rPr>
              <w:t>
кедендік-тарифтік реттеу;</w:t>
            </w:r>
          </w:p>
          <w:p>
            <w:pPr>
              <w:spacing w:after="20"/>
              <w:ind w:left="20"/>
              <w:jc w:val="both"/>
            </w:pPr>
            <w:r>
              <w:rPr>
                <w:rFonts w:ascii="Times New Roman"/>
                <w:b w:val="false"/>
                <w:i w:val="false"/>
                <w:color w:val="000000"/>
                <w:sz w:val="20"/>
              </w:rPr>
              <w:t>
тарифтік емес реттеу;</w:t>
            </w:r>
          </w:p>
          <w:p>
            <w:pPr>
              <w:spacing w:after="20"/>
              <w:ind w:left="20"/>
              <w:jc w:val="both"/>
            </w:pPr>
            <w:r>
              <w:rPr>
                <w:rFonts w:ascii="Times New Roman"/>
                <w:b w:val="false"/>
                <w:i w:val="false"/>
                <w:color w:val="000000"/>
                <w:sz w:val="20"/>
              </w:rPr>
              <w:t>
техникалық реттеу;</w:t>
            </w:r>
          </w:p>
          <w:p>
            <w:pPr>
              <w:spacing w:after="20"/>
              <w:ind w:left="20"/>
              <w:jc w:val="both"/>
            </w:pPr>
            <w:r>
              <w:rPr>
                <w:rFonts w:ascii="Times New Roman"/>
                <w:b w:val="false"/>
                <w:i w:val="false"/>
                <w:color w:val="000000"/>
                <w:sz w:val="20"/>
              </w:rPr>
              <w:t>
саниатриялық, ветеринариялық-санитариялық, карантиндік фитосанитариялық шаралар;</w:t>
            </w:r>
          </w:p>
          <w:p>
            <w:pPr>
              <w:spacing w:after="20"/>
              <w:ind w:left="20"/>
              <w:jc w:val="both"/>
            </w:pPr>
            <w:r>
              <w:rPr>
                <w:rFonts w:ascii="Times New Roman"/>
                <w:b w:val="false"/>
                <w:i w:val="false"/>
                <w:color w:val="000000"/>
                <w:sz w:val="20"/>
              </w:rPr>
              <w:t>
қаржылық (банктік, сақтандыру) қызметтер көрсету;</w:t>
            </w:r>
          </w:p>
          <w:p>
            <w:pPr>
              <w:spacing w:after="20"/>
              <w:ind w:left="20"/>
              <w:jc w:val="both"/>
            </w:pPr>
            <w:r>
              <w:rPr>
                <w:rFonts w:ascii="Times New Roman"/>
                <w:b w:val="false"/>
                <w:i w:val="false"/>
                <w:color w:val="000000"/>
                <w:sz w:val="20"/>
              </w:rPr>
              <w:t>
көлік және тасымалдау;</w:t>
            </w:r>
          </w:p>
          <w:p>
            <w:pPr>
              <w:spacing w:after="20"/>
              <w:ind w:left="20"/>
              <w:jc w:val="both"/>
            </w:pPr>
            <w:r>
              <w:rPr>
                <w:rFonts w:ascii="Times New Roman"/>
                <w:b w:val="false"/>
                <w:i w:val="false"/>
                <w:color w:val="000000"/>
                <w:sz w:val="20"/>
              </w:rPr>
              <w:t>
зияткерлік меншік құқықтарын қорғау және сақтау салаларындағы   электрондық құжаттарды ресімдеу мүмкіндігін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Өзара тану мақсатында, сыртқы экономикалық қызметті жүзеге асыру үшін қажетті құжаттардағы, сондай-ақ Одақ аумағында ресімделетін электрондық құжаттарда қамтылған мәліметтерді біріздендіру және үндестіру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 Халықаралық стандарттар негізінде құрылған Одақтың деректер моделі негізінде элекрондық құжаттарда қамтылған, сыртқы экономикалық қызметті жүзеге асыру үшін қажетті, мемлекеттік реттеудің мынадай: </w:t>
            </w:r>
          </w:p>
          <w:p>
            <w:pPr>
              <w:spacing w:after="20"/>
              <w:ind w:left="20"/>
              <w:jc w:val="both"/>
            </w:pPr>
            <w:r>
              <w:rPr>
                <w:rFonts w:ascii="Times New Roman"/>
                <w:b w:val="false"/>
                <w:i w:val="false"/>
                <w:color w:val="000000"/>
                <w:sz w:val="20"/>
              </w:rPr>
              <w:t>
кедендік реттеу;</w:t>
            </w:r>
          </w:p>
          <w:p>
            <w:pPr>
              <w:spacing w:after="20"/>
              <w:ind w:left="20"/>
              <w:jc w:val="both"/>
            </w:pPr>
            <w:r>
              <w:rPr>
                <w:rFonts w:ascii="Times New Roman"/>
                <w:b w:val="false"/>
                <w:i w:val="false"/>
                <w:color w:val="000000"/>
                <w:sz w:val="20"/>
              </w:rPr>
              <w:t>
валюталық ретттеу;</w:t>
            </w:r>
          </w:p>
          <w:p>
            <w:pPr>
              <w:spacing w:after="20"/>
              <w:ind w:left="20"/>
              <w:jc w:val="both"/>
            </w:pPr>
            <w:r>
              <w:rPr>
                <w:rFonts w:ascii="Times New Roman"/>
                <w:b w:val="false"/>
                <w:i w:val="false"/>
                <w:color w:val="000000"/>
                <w:sz w:val="20"/>
              </w:rPr>
              <w:t>
салықтық реттеу;</w:t>
            </w:r>
          </w:p>
          <w:p>
            <w:pPr>
              <w:spacing w:after="20"/>
              <w:ind w:left="20"/>
              <w:jc w:val="both"/>
            </w:pPr>
            <w:r>
              <w:rPr>
                <w:rFonts w:ascii="Times New Roman"/>
                <w:b w:val="false"/>
                <w:i w:val="false"/>
                <w:color w:val="000000"/>
                <w:sz w:val="20"/>
              </w:rPr>
              <w:t>
кедендік-тарифтік реттеу;</w:t>
            </w:r>
          </w:p>
          <w:p>
            <w:pPr>
              <w:spacing w:after="20"/>
              <w:ind w:left="20"/>
              <w:jc w:val="both"/>
            </w:pPr>
            <w:r>
              <w:rPr>
                <w:rFonts w:ascii="Times New Roman"/>
                <w:b w:val="false"/>
                <w:i w:val="false"/>
                <w:color w:val="000000"/>
                <w:sz w:val="20"/>
              </w:rPr>
              <w:t>
тарифтік емес реттеу;</w:t>
            </w:r>
          </w:p>
          <w:p>
            <w:pPr>
              <w:spacing w:after="20"/>
              <w:ind w:left="20"/>
              <w:jc w:val="both"/>
            </w:pPr>
            <w:r>
              <w:rPr>
                <w:rFonts w:ascii="Times New Roman"/>
                <w:b w:val="false"/>
                <w:i w:val="false"/>
                <w:color w:val="000000"/>
                <w:sz w:val="20"/>
              </w:rPr>
              <w:t>
техникалық реттеу;</w:t>
            </w:r>
          </w:p>
          <w:p>
            <w:pPr>
              <w:spacing w:after="20"/>
              <w:ind w:left="20"/>
              <w:jc w:val="both"/>
            </w:pPr>
            <w:r>
              <w:rPr>
                <w:rFonts w:ascii="Times New Roman"/>
                <w:b w:val="false"/>
                <w:i w:val="false"/>
                <w:color w:val="000000"/>
                <w:sz w:val="20"/>
              </w:rPr>
              <w:t>
саниатриялық, ветеринариялық-санитариялық, карантиндік фитосанитариялық шаралар;</w:t>
            </w:r>
          </w:p>
          <w:p>
            <w:pPr>
              <w:spacing w:after="20"/>
              <w:ind w:left="20"/>
              <w:jc w:val="both"/>
            </w:pPr>
            <w:r>
              <w:rPr>
                <w:rFonts w:ascii="Times New Roman"/>
                <w:b w:val="false"/>
                <w:i w:val="false"/>
                <w:color w:val="000000"/>
                <w:sz w:val="20"/>
              </w:rPr>
              <w:t>
қаржылық (банктік, сақтандыру) қызметтер көрсету;</w:t>
            </w:r>
          </w:p>
          <w:p>
            <w:pPr>
              <w:spacing w:after="20"/>
              <w:ind w:left="20"/>
              <w:jc w:val="both"/>
            </w:pPr>
            <w:r>
              <w:rPr>
                <w:rFonts w:ascii="Times New Roman"/>
                <w:b w:val="false"/>
                <w:i w:val="false"/>
                <w:color w:val="000000"/>
                <w:sz w:val="20"/>
              </w:rPr>
              <w:t>
көлік және тасымалдау;</w:t>
            </w:r>
          </w:p>
          <w:p>
            <w:pPr>
              <w:spacing w:after="20"/>
              <w:ind w:left="20"/>
              <w:jc w:val="both"/>
            </w:pPr>
            <w:r>
              <w:rPr>
                <w:rFonts w:ascii="Times New Roman"/>
                <w:b w:val="false"/>
                <w:i w:val="false"/>
                <w:color w:val="000000"/>
                <w:sz w:val="20"/>
              </w:rPr>
              <w:t>
зияткерлік меншік құқықтарын қорғау және сақтау салаларындағы   құжаттардағы мәліметтерді біріздендіру және үндестіру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органдарының актілері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Сыртқы экономикалық қызметті жүзеге асыру үшін қажетті  электрондық құжаттарды  мүше мемлекеттердің уәкілетті органдарының  ресімдеуіне және пайдалануына көшу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 Одақ құқығына кіретін актілерде  сыртқы экономикалық қызметті жүзеге асыру үшін қажетті  электрондық құжаттардың  форматы мен құрылымын  міндетті түрде бекіту туралы ережелерді бекіту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государства-члены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органдарының актілері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"Бірыңғай терезе" ұлттық тетіктерін дамытуға әсер ететін, сыртқы экономикалық қызметті  жүзеге асыру үшін қажетті құжаттарды  ресімдеуге және пайдалануға байланысты, Одақтың құқығына кіретін актілердің жобаларын келісуді үйлестіру тәртібін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органдарының актілері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Комиссия мемлекетаралық ақпараттық  өзара іс-қимыл жасау процесінде электрондық нысанда ұсынылатын ақпараттар тізбесін айқындайтын жағдайларды анықтайтын халықаралық шартты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жобасы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3.3.4. Сыртқы экономикалық қызметті жүзеге асыру үшін қажетті, мемлекеттік реттеудің мынадай: </w:t>
            </w:r>
          </w:p>
          <w:p>
            <w:pPr>
              <w:spacing w:after="20"/>
              <w:ind w:left="20"/>
              <w:jc w:val="both"/>
            </w:pPr>
            <w:r>
              <w:rPr>
                <w:rFonts w:ascii="Times New Roman"/>
                <w:b w:val="false"/>
                <w:i w:val="false"/>
                <w:color w:val="000000"/>
                <w:sz w:val="20"/>
              </w:rPr>
              <w:t>
кедендік реттеу;</w:t>
            </w:r>
          </w:p>
          <w:p>
            <w:pPr>
              <w:spacing w:after="20"/>
              <w:ind w:left="20"/>
              <w:jc w:val="both"/>
            </w:pPr>
            <w:r>
              <w:rPr>
                <w:rFonts w:ascii="Times New Roman"/>
                <w:b w:val="false"/>
                <w:i w:val="false"/>
                <w:color w:val="000000"/>
                <w:sz w:val="20"/>
              </w:rPr>
              <w:t>
валюталық ретттеу;</w:t>
            </w:r>
          </w:p>
          <w:p>
            <w:pPr>
              <w:spacing w:after="20"/>
              <w:ind w:left="20"/>
              <w:jc w:val="both"/>
            </w:pPr>
            <w:r>
              <w:rPr>
                <w:rFonts w:ascii="Times New Roman"/>
                <w:b w:val="false"/>
                <w:i w:val="false"/>
                <w:color w:val="000000"/>
                <w:sz w:val="20"/>
              </w:rPr>
              <w:t>
салықтық реттеу;</w:t>
            </w:r>
          </w:p>
          <w:p>
            <w:pPr>
              <w:spacing w:after="20"/>
              <w:ind w:left="20"/>
              <w:jc w:val="both"/>
            </w:pPr>
            <w:r>
              <w:rPr>
                <w:rFonts w:ascii="Times New Roman"/>
                <w:b w:val="false"/>
                <w:i w:val="false"/>
                <w:color w:val="000000"/>
                <w:sz w:val="20"/>
              </w:rPr>
              <w:t>
кедендік-тарифтік реттеу;</w:t>
            </w:r>
          </w:p>
          <w:p>
            <w:pPr>
              <w:spacing w:after="20"/>
              <w:ind w:left="20"/>
              <w:jc w:val="both"/>
            </w:pPr>
            <w:r>
              <w:rPr>
                <w:rFonts w:ascii="Times New Roman"/>
                <w:b w:val="false"/>
                <w:i w:val="false"/>
                <w:color w:val="000000"/>
                <w:sz w:val="20"/>
              </w:rPr>
              <w:t>
тарифтік емес реттеу;</w:t>
            </w:r>
          </w:p>
          <w:p>
            <w:pPr>
              <w:spacing w:after="20"/>
              <w:ind w:left="20"/>
              <w:jc w:val="both"/>
            </w:pPr>
            <w:r>
              <w:rPr>
                <w:rFonts w:ascii="Times New Roman"/>
                <w:b w:val="false"/>
                <w:i w:val="false"/>
                <w:color w:val="000000"/>
                <w:sz w:val="20"/>
              </w:rPr>
              <w:t>
техникалық реттеу;</w:t>
            </w:r>
          </w:p>
          <w:p>
            <w:pPr>
              <w:spacing w:after="20"/>
              <w:ind w:left="20"/>
              <w:jc w:val="both"/>
            </w:pPr>
            <w:r>
              <w:rPr>
                <w:rFonts w:ascii="Times New Roman"/>
                <w:b w:val="false"/>
                <w:i w:val="false"/>
                <w:color w:val="000000"/>
                <w:sz w:val="20"/>
              </w:rPr>
              <w:t>
саниатриялық, ветеринариялық-санитариялық, карантиндік фитосанитариялық шаралар;</w:t>
            </w:r>
          </w:p>
          <w:p>
            <w:pPr>
              <w:spacing w:after="20"/>
              <w:ind w:left="20"/>
              <w:jc w:val="both"/>
            </w:pPr>
            <w:r>
              <w:rPr>
                <w:rFonts w:ascii="Times New Roman"/>
                <w:b w:val="false"/>
                <w:i w:val="false"/>
                <w:color w:val="000000"/>
                <w:sz w:val="20"/>
              </w:rPr>
              <w:t>
қаржылық (банктік, сақтандыру) қызметтер көрсету;</w:t>
            </w:r>
          </w:p>
          <w:p>
            <w:pPr>
              <w:spacing w:after="20"/>
              <w:ind w:left="20"/>
              <w:jc w:val="both"/>
            </w:pPr>
            <w:r>
              <w:rPr>
                <w:rFonts w:ascii="Times New Roman"/>
                <w:b w:val="false"/>
                <w:i w:val="false"/>
                <w:color w:val="000000"/>
                <w:sz w:val="20"/>
              </w:rPr>
              <w:t>
көлік және тасымалдау;</w:t>
            </w:r>
          </w:p>
          <w:p>
            <w:pPr>
              <w:spacing w:after="20"/>
              <w:ind w:left="20"/>
              <w:jc w:val="both"/>
            </w:pPr>
            <w:r>
              <w:rPr>
                <w:rFonts w:ascii="Times New Roman"/>
                <w:b w:val="false"/>
                <w:i w:val="false"/>
                <w:color w:val="000000"/>
                <w:sz w:val="20"/>
              </w:rPr>
              <w:t>
зияткерлік меншік құқықтарын қорғау және сақтау салаларындағы   электрондық құжаттарды  ресімдеу және пайдалану бөлігінде  Одақтың құқығына кіретін актілер мен  мүше мемлекеттердің заңнамасына өзгерістер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органдарының актілері, мүше мемлекеттердің заңнамасына өзгерістер енгізу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Сыртқы экономикалық қызмет субъектілерін бірегей сәйкестендіруді қамтамасыз ету тәртібін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IV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органының актісі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Ақпараттық өзара іс-қимыл жасауды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"Бірыңғай терезе" ұлттық тетіктері шеңберінде  мүдделі тұлғалары мен мүше мемлекеттердің  мемлекеттік органдарының  өзара іс-қимыл жасау рәсімдерін біріздендіру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 Одақтың құқығына кіретін актілер мен  мүше мемлекеттердің заңнамасын мүдделі тұлғалардың  мүше мемлекеттердің  мемлекеттік органдарымен және (немесе) уәкілетті ұйымдарымен "бірыңғай терезе" ұлттық тетіктерінің  жұмыс істеуі шеңберінде  осындай органдарға және (немесе) ұйымдарға  мәліметтер беру кезінде (бұдан әрі – B2G рәсімдері) ақпараттық өзара іс-қимыл жасауын көздеу бөлігінде  талдау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шілде-тамыз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"Бірыңғай терезе"  ұлттық тетіктерін дамыту жөніндегі  жобаларды қамту саласына енгізілген B2G  рәсімдерінің тізбесін жаңартып отыру бойынша ұсыныстарды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шілде-тамыз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"Бірыңғай терезе"  ұлттық тетіктерін дамыту жөніндегі  жобаларды қамту саласына енгізілген B2G  рәсімдерін іске асыру туралы есептерді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қыркүйек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"Бірыңғай терезе"  ұлттық тетіктерінің жұмыс істеуі шеңберінде B2G  рәсімдерін біріздендіру үшін басымдар тізбесін жаңартып отыру бойынша ұсыныстар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қыркүйек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органының актісі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"Бірыңғай терезе"  ұлттық тетіктерінің жұмыс істеуі шеңберінде B2G   біріздендірілетін рәсімдерін регламенттеу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органының актісі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Ұлтүсті деңгейде белгіленетін, біріздендірілген талаптарға сәйкес "бірыңғай терезе"  ұлттық тетіктерінің жұмыс істеуі шеңберінде "B2G  рәсімдерін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жоспарлары (ұлттық), есептер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"Бірыңғай терезе" ұлттық тетіктерінің  жұмыс істеуі шеңберінде  ведомствоаралық ақпараттық өзара іс-қимыл жасау рәсімдерін оңтайландыру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"Бірыңғай терезе" ұлттық тетіктерінің жұмыс істеуі шеңберінде ведомствоаралық ақпараттық  өзара іс-қимыл жасау процестерін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шілде - тамыз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"Бірыңғай терезе"  тетігін дамыту жөніндегі  жобаны қамту саласына енгізілген, ведомствоаралық ақпараттық өзара іс-қимыл жасау рәсімдерінің тізбесін жаңартып отыру (бұдан әрі - G2G рәсімдері)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шілде - тамыз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рәсімдердің жаңартылған тізбесі, мүдделі органдардың тізбесі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"Бірыңғай терезе" ұлттық тетіктерін дамыту жөніндегі жобаларды қамту саласына енгізілген G2G рәсімдерін іске асыру туралы есептерді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қыркүйек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"Бірыңғай терезе" ұлттық тетіктерін дамыту жөніндегі жобаларды қамту саласына енгізілген G2G мемлекеттік рәсімдерін оңтайландыру бойынша ұсыныстар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қыркүйек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"Бірыңғай терезе" ұлттық тетіктерін дамыту жөніндегі тәсілдерді жақындастыру шеңберінде мүше мемлекеттерде қолдану үшін "бірыңғай терезе" ұлттық тетіктерін дамыту жөніндегі жобаларды қамту саласына енгізілген G2G үлгілік жобаларын іске асыру бойынша ұсынымдар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органының актісі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Осы жоспардың 4.2.5.- тармағында көрсетілген ұсынымдарға сәйкес G2G  рәсімдерін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жоспарлары (ұлттық), есептер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"Бірыңғай терезе" ұлттық тетіктерінің жұмыс істеуін қамтамасыз етуге тартылған, Одақ шеңберіндегі  ортақ процестерді оңтайландыру және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Одақтың құқығы мен мүше мемлекеттердің заңнамасына "бірыңғай терезе"  ұлттық тетіктері арасындағы мемлекетаралық ақпараттық өзара  іс-қимылдың іске асырылуын  қамтамасыз ету мақсатында өзгерістер енгізу қажеттігін айқындау бөлігінде талдау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Одақ органдарының актілері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"Бірыңғай терезе" ұлттық тетіктерінің жұмыс істеуін қамтамасыз ету мақсатында  мемлекетаралық ақпараттық өзара іс-қимыл жасау процестеріне (Одақ шеңберіндегі жалпы процестерге) мониторинг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шілде - тамыз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4.3.3. "Бірыңғай терезе" ұлттық тетіктерінің  өзара іс-қимыл жасау  қамтамасыз ету бөлігінде Еуразиялық экономикалық одақ шеңберіндегі  жалпы процестер тізбесін жаңартып отыру жөнінде ұсыныстар дайындау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қыркүйек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процестердің жаңартылған тізбесі, Одақ органының актісі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"Бірыңғай терезе" ұлттық тетіктерінің  жұмыс істеуін  қамтамасыз етуге тартылған Одақ шеңберіндегі  жалпы процестерді регламенттеу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регламенттер, Одақ органының актісі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"Бірыңғай терезе" ұлттық тетіктерінің  жұмыс істеуін қамтамасыз етуге тартылған жалпы процестерді іске асырудың  нысаналы салалары шеңберінде  Одақ деректерінің моделін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формальдандырылған моделі, деректер моделінің сипаттамасы, Одақ органының актісі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4.3.6. "Бірыңғай терезе" ұлттық тетіктерінің  жұмыс істеуін қамтамасыз етуге тартылған Одақ шеңберіндегі жалпы процестерді іске асыру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 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Мүдделі тұлғалардың  "бірыңғай терезе" ұлттық тетіктерін пайдалану рәсімдерін оңайлату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"Бірыңғай терезе" ұлттық тетіктерін пайдалану кезінде  мүдделі тұлғалар арасындағы өзара іс-қимыл жасау процестері мен рәсімдерін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қыркүйек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"Бірыңғай терезе" ұлттық тетіктерінің жұмыс істеуін  қамтамасыз ету үшін қажетті  Одақтың  бірыңғай нормативтік-анықтамалық ақпарат жүйесін қалыптастыру және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IV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органдарының актілері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Ұғымдық аппаратты қалыптастыру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Негізгі бағыттарды іске асыру кезінде пайдаланылатын терминдер глоссариін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IV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органының актісі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Іс-шаралар жоспарын іске асыруды қамтамасыз ететін ұйымдастырушылық тетік (басқару тетігі)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Басқару тетігінің  ұйымдастырушылық құрылымын әзірлеу және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Басқару тетігінің ұйымдастырушылық құрылымының әрбір  құрауышының  (бұдан әрі – ұйымдастырушылық құрылымының басқарушылық элементі) рөлін, функцияларын, өкілеттіктерін сипаттай отырып,  регламентті, ережелерді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шілде - тамыз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органдарының актілері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"Бірыңғай терезе" ұлттық тетігін құру және дамыту жөніндегі  іс-шаралар жоспары мен жобасын іске асыруды стратегиялық және тактикалық басқаруды жүзеге асыратын  тұлғалардың өкілеттіктерін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шілде - тамыз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органдарының актілері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Сыртқы экономикалық қызметті реттеу жүйесінде  "бірыңғай терезе" тетігін дамытудың  негізгі бағыттарын іске асыру жөніндегі іс-шаралар жоспарын іске асыру бойынша жұмыс тобын (бұдан әрі – жұмыс тобы)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ІІІ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органдарының актілері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 Басшыларын,  ұйымдастырушылық құрылымның  басқарушылық элементтерін қоса алғанда, жұмыс тобының құрамын айқындау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шілде - тамыз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органының актісі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Жұмыс тобының жанынан тақырыптық сарапшы топтарды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шілде - тамыз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органының актісі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Мүше мемлекеттердің  Негізгі бағыттарды іске асыруға жауапты уәкілетті органдарды айқындауы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ІІІ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 үкіметінің актісі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Мүше мемлекеттердің  іс-шаралар жоспары мен осы жоспарды іске асыруға уәкілетті  үйлестіруші (кеңесші) органдарды құруы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ІІІ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 үкіметінің актісі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Ұйымдастырушылық мәселелер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"Бірыңғай терезе" тетігін көпшілікке танымал ету: Негізгі бағыттарды және іс-шаралар жоспарын іске асыру бойынша БАҚ-пен жұмыс істеу,  ашық піріксайыстарды, семинарларды, конференцияларды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IV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конференцияларды ұйымдастыру, анықтамалық ақпарат шығару, мақалалар дайындау, жинақтар, брошюралар шығару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Негізгі бағыттарды және іс-шаралар жоспарын іске асыру бойынша  жасалған жұмыс туралы есептерді дайындау және жариялау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IV 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ақпараттық-телекоммуникациялық "Интернет" желісіндегі Одақ сайтына жариялау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