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eae5" w14:textId="636e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шығарылған және Еуразиялық экономикалық одақтың кедендік аумағына әкелінетін жүк шиналарына қатысты демпингке қарсы баж ендіру жолымен демпингке қарсы шаралар қабылдау туралы</w:t>
      </w:r>
    </w:p>
    <w:p>
      <w:pPr>
        <w:spacing w:after="0"/>
        <w:ind w:left="0"/>
        <w:jc w:val="both"/>
      </w:pPr>
      <w:r>
        <w:rPr>
          <w:rFonts w:ascii="Times New Roman"/>
          <w:b w:val="false"/>
          <w:i w:val="false"/>
          <w:color w:val="000000"/>
          <w:sz w:val="28"/>
        </w:rPr>
        <w:t>Еуразиялық экономикалық комиссия Алқасының 2015 жылғы 17 қарашадағы № 154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шарттың </w:t>
      </w:r>
      <w:r>
        <w:rPr>
          <w:rFonts w:ascii="Times New Roman"/>
          <w:b w:val="false"/>
          <w:i w:val="false"/>
          <w:color w:val="000000"/>
          <w:sz w:val="28"/>
        </w:rPr>
        <w:t>№ 8 қосымшасы</w:t>
      </w:r>
      <w:r>
        <w:rPr>
          <w:rFonts w:ascii="Times New Roman"/>
          <w:b w:val="false"/>
          <w:i w:val="false"/>
          <w:color w:val="000000"/>
          <w:sz w:val="28"/>
        </w:rPr>
        <w:t xml:space="preserve">) </w:t>
      </w:r>
      <w:r>
        <w:rPr>
          <w:rFonts w:ascii="Times New Roman"/>
          <w:b w:val="false"/>
          <w:i w:val="false"/>
          <w:color w:val="000000"/>
          <w:sz w:val="28"/>
        </w:rPr>
        <w:t>107-тармағына</w:t>
      </w:r>
      <w:r>
        <w:rPr>
          <w:rFonts w:ascii="Times New Roman"/>
          <w:b w:val="false"/>
          <w:i w:val="false"/>
          <w:color w:val="000000"/>
          <w:sz w:val="28"/>
        </w:rPr>
        <w:t xml:space="preserve"> сәйкес және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кедендік аумағына әкелінетін жүк автокөліктерінің, автобустардың, троллейбустардың, самосвалдардың, тіркемелердің және жартылай тіркемелердің әртүрлі өстерінде пайдалануға арналған Кеден одағы Комиссиясының 2011 жылғы 9 желтоқсандағы № 877 шешімімен қабылданған "Доңғалақты көлік құралдарының қауіпсіздігі туралы" Кеден техникалық  регламентінің № 8 қосымшасы 5-бөлімінің 5.1-кестесінде көрсетілген белгілемелерге сәйкес (V, W және Y белгілемелерін қоспағанда), жүктеме индексі 115-тен артық </w:t>
      </w:r>
      <w:r>
        <w:rPr>
          <w:rFonts w:ascii="Times New Roman"/>
          <w:b w:val="false"/>
          <w:i w:val="false"/>
          <w:color w:val="000000"/>
          <w:sz w:val="28"/>
        </w:rPr>
        <w:t>(№ 2 қосымшаға</w:t>
      </w:r>
      <w:r>
        <w:rPr>
          <w:rFonts w:ascii="Times New Roman"/>
          <w:b w:val="false"/>
          <w:i w:val="false"/>
          <w:color w:val="000000"/>
          <w:sz w:val="28"/>
        </w:rPr>
        <w:t xml:space="preserve"> сәйкес тізбе бойынша шиналар мен жаңа пневматикалық резеңке доңғалаққаптарын қоспағанда) жылдамдық санаттарының белгілері ойып жазылған қондыру диаметрі 17,5 – 24,5 дюйм аралығындағы Қытай Халық Республикасында шығарылған және ЕАЭО СЭҚ ТН 4011 20 100 0 және 4011 20 900 0 кодтарымен сыныпталатын шиналарды және жаңа пневматикалық резеңке доңғалаққабын ұсынатын жүк шиналарына қатысты көлемде демпингке қарсы баж ендіру арқылы осы демпингке қатысты шараларды 5 жыл қолдану мерзімі белгілене отырып, демпингке қарсы шаралар қабылдансын.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 ЕАЭС СЭҚ ТН кодтарын және тауар атауын басшылыққа ала отырып, осы Шешімде көзделген демпингке қарсы бажды өндіріп алуды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17 қарашадағы</w:t>
            </w:r>
            <w:r>
              <w:br/>
            </w:r>
            <w:r>
              <w:rPr>
                <w:rFonts w:ascii="Times New Roman"/>
                <w:b w:val="false"/>
                <w:i w:val="false"/>
                <w:color w:val="000000"/>
                <w:sz w:val="20"/>
              </w:rPr>
              <w:t>№ 154 шешіміне</w:t>
            </w:r>
            <w:r>
              <w:br/>
            </w:r>
            <w:r>
              <w:rPr>
                <w:rFonts w:ascii="Times New Roman"/>
                <w:b w:val="false"/>
                <w:i w:val="false"/>
                <w:color w:val="000000"/>
                <w:sz w:val="20"/>
              </w:rPr>
              <w:t>№ 1 ҚОСЫМША</w:t>
            </w:r>
          </w:p>
        </w:tc>
      </w:tr>
    </w:tbl>
    <w:bookmarkStart w:name="z6" w:id="4"/>
    <w:p>
      <w:pPr>
        <w:spacing w:after="0"/>
        <w:ind w:left="0"/>
        <w:jc w:val="left"/>
      </w:pPr>
      <w:r>
        <w:rPr>
          <w:rFonts w:ascii="Times New Roman"/>
          <w:b/>
          <w:i w:val="false"/>
          <w:color w:val="000000"/>
        </w:rPr>
        <w:t xml:space="preserve"> Демпингке қарсы баж МӨЛШЕРЛЕМЕЛЕРІНІҢ КӨЛЕМІ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баж мөлшерлемесінің көлемі (кедендік құннан пайыздар)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2015 жылғы 17 қарашадағы № 154 шешімінің 1-тармағында көрсетілген шиналар және жаңа пневматикалық резеңке доңғалаққаптары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Aeolus Tyre Co., Ltd. (No. 48, Jiaodong South Road, Jiaozuo, Henan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Triangle Tyre Co., Ltd. (No. 56, Qingdao Middle Road, Weihai City, Shandong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Shandong Wanda Boto Tyre Co., Ltd. (No. 68, Yongshen Road, Dongying City, Shandong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Deruibao Tire Co., Ltd. (Guangrao Economic Development Zone, Dongying City, Shandong,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Guizhou Tyre Co., Ltd. (No. 41, Bai Hua Ave., Guiyang, Guizhou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Chaoyang Long March Tyre Co., Ltd. (No. 1, Xiangyang Road, Longcheng District, Chaoyang, Liaoning Province, China); Cooper Chengshan (Shandong) Tire Co, Ltd. (No. 98, Nanshan (N) Road, Rongcheng City, Shandong Province, China); Double Coin Holdings Ltd. (No. 290, Wusong Road, Shanghai, China); Double Coin Group (Jiang Su) Tyre Co., Ltd. (No. 888 Yishou North Road, Nantong, Jiangsu Province, China); Xinjiang Kunlun Engineering Co., Ltd. (No. 7880, Midongbei Road, Midong Chemical Industry District, Urumqi, Xinjiang, China); Giti Tire (Chongqing) Co., Ltd. (No. 16, Science and Technology incubation building, Huoju Road, Jiu Long industrial park, Jiu Longpo District, Chongqing, China); Giti Tire (Fujian) Co., Ltd. (Hongpu Industry Park, Hushi, Xiuyu District, Putian City, Fujian Province, China); Giti Tire (Anhui) Co., Ltd. (No. 8, Shixin Road, Hefei Eco-tech Development Zone, Anhui Province, China); Shandong Hengyu Rubber Co., Ltd. (Dawang Industry Park, Dongying City, Shandong Province, China); Shandong Hengyu Science &amp; Technology Co., Ltd. (No. 12, Guangrui Road, Guangrao Economic Development Zone, Dongying, Shandong Province, China); Jiangsu General Science Technology Co., Ltd. (Hongdou Industrial Park, Wuxi, Jiangsu Province, China); Jiangsu Hankook Tire Co., Ltd. (No. 1, South Hantai Road Huaian Economic Development Zone, Jiangsu Province, China); Shandong Linglong Tyre Co., Ltd. (No. 777, Jinlong Road, Zhaoyuan City, Shandong Province, China); Sailun Group Co., Ltd. (Fuyuan Industrial Park Economic and Technical Development Zone, Qingdao, Shandong Province, China); Shandong Hengfeng Rubber &amp; Plastic Co., Ltd. (Economy and Development Zone, Dawang Town, Guangrao County, Shandong Province, China); Shandong Hawk International Rubber Industry Co., Ltd. (Phoenix Industry Park, Economy Developing Zone, Laizhou City, Shandong Province, China); Shandong Huasheng Rubber Co., Ltd. (Daozhuang Industrial Zone, DongYing, Shandong Province, China); Shandong Jinyu Tire Co., Ltd. (No. 260, Qingken Road, Dawang Town, Guangrao, Shandong Province, China); Shandong O’Green Tyres Co., Ltd. (Xishui Industrial Zone, Guangrao, Dongying, Shandong Province, China); Shandong Wanshine Tire Co., Ltd. (Tangshan Town, Huantai County, Zibo, Shandong Province, China); Shengtai Group Co., Ltd. (Xishui Industrial Zone, Guangrao, Dongying, Shandong Province, China); Sichuan Kalevei Technology Co., Ltd. (No. 1, Kalevei Industrial Road, Industrial Park, Jianyang, Sichuan, China); South China Tire &amp; Rubber Co., Ltd. (No. 116, Donghuan Road, Panyu, Guangzhou Province, China); Techking Tires Limited (13-2, Five Period of Five Layers Area A, No. 34, Shanghai Road, Qingdao Free Trade Zone, Shandong Province, China); Weifang Yuelong Rubber Co., Ltd. (Taitou Industrial Zone, Shouguang, Shandong Province, China); Xingyuan Tire Group Co., Ltd. (Xishui Industrial Zone, Guangrao county, Dongying city, Shandong Province, China); Shandong Yinbao Tyre Group Co., Ltd. (Taitou Industrial Zone, Shouguang City, Shandong Province, China); Shandong Shouguang Yinbao Rubber Industry Co., Ltd. (Taitou Industrial Zone, Shouguang, Shandong Province, China); Shandong Yongtai Chemical Co., Ltd. (Dawang Rubber Industry Area, Guangrao County, Dongying City, Shandong Province, China); Weifang Shunfuchang Rubber and Plastic Products Co., Ltd. (Hualong Town, Shouguang City, Shandong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2015 жылғы 17 қарашадағы</w:t>
            </w:r>
            <w:r>
              <w:br/>
            </w:r>
            <w:r>
              <w:rPr>
                <w:rFonts w:ascii="Times New Roman"/>
                <w:b w:val="false"/>
                <w:i w:val="false"/>
                <w:color w:val="000000"/>
                <w:sz w:val="20"/>
              </w:rPr>
              <w:t xml:space="preserve"> № 154 шешіміне</w:t>
            </w:r>
            <w:r>
              <w:br/>
            </w:r>
            <w:r>
              <w:rPr>
                <w:rFonts w:ascii="Times New Roman"/>
                <w:b w:val="false"/>
                <w:i w:val="false"/>
                <w:color w:val="000000"/>
                <w:sz w:val="20"/>
              </w:rPr>
              <w:t>№ 2 ҚОСЫМША</w:t>
            </w:r>
          </w:p>
        </w:tc>
      </w:tr>
    </w:tbl>
    <w:bookmarkStart w:name="z8" w:id="5"/>
    <w:p>
      <w:pPr>
        <w:spacing w:after="0"/>
        <w:ind w:left="0"/>
        <w:jc w:val="left"/>
      </w:pPr>
      <w:r>
        <w:rPr>
          <w:rFonts w:ascii="Times New Roman"/>
          <w:b/>
          <w:i w:val="false"/>
          <w:color w:val="000000"/>
        </w:rPr>
        <w:t xml:space="preserve"> Демпингке қарсы баж өндіруге жатпайтын шиналар мен жаңа пневматикалық резеңке доңғалыққаптары түрлерінің ТІЗБЕСІ</w:t>
      </w:r>
    </w:p>
    <w:bookmarkEnd w:id="5"/>
    <w:bookmarkStart w:name="z9" w:id="6"/>
    <w:p>
      <w:pPr>
        <w:spacing w:after="0"/>
        <w:ind w:left="0"/>
        <w:jc w:val="both"/>
      </w:pPr>
      <w:r>
        <w:rPr>
          <w:rFonts w:ascii="Times New Roman"/>
          <w:b w:val="false"/>
          <w:i w:val="false"/>
          <w:color w:val="000000"/>
          <w:sz w:val="28"/>
        </w:rPr>
        <w:t>
      1. Доңгалақты көлік құралдарына, доңғалақты көлік құралдарына орнатылуы және/немесе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тану шарттары туралы 1958 жылғы 20 наурыздағы келісімнің негізінде қабылданған Біріккен Ұлттар Ұйымы Еуропалық экономикалық комиссиясының № 54 қағидасының 2.17.1.3-тармағында көрсетілген тоғын диаметрінің таңбасынан кейін LT әріптерімен таңбаланатын қондыру диаметрі 17,5 дюйм шиналар және жаңа пневматикалық резеңке доңғалақ қаптары.</w:t>
      </w:r>
    </w:p>
    <w:bookmarkEnd w:id="6"/>
    <w:bookmarkStart w:name="z10" w:id="7"/>
    <w:p>
      <w:pPr>
        <w:spacing w:after="0"/>
        <w:ind w:left="0"/>
        <w:jc w:val="both"/>
      </w:pPr>
      <w:r>
        <w:rPr>
          <w:rFonts w:ascii="Times New Roman"/>
          <w:b w:val="false"/>
          <w:i w:val="false"/>
          <w:color w:val="000000"/>
          <w:sz w:val="28"/>
        </w:rPr>
        <w:t>
      2. Доңғалақты көлік құралдарына, доңғалақты көлік құралдарына орнатылуы және/немесе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тану шарттары туралы 1958 жылғы 20 наурыздағы келісімнің негізінде қабылданған Біріккен Ұлттар Ұйымы Еуропалық экономикалық комиссиясының № 54 қағидасының 2.17.1.4-тармағында көрсетілген тоғын конфигурациясына сәйкес шина белгіленімінен кейін LT әріптерімен таңбаланатын қондыру диаметрі 17,5 дюйм шиналар және жаңа пневматикалық резеңке доңғалаққаптары.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