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285a" w14:textId="baf2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қуаты 250 а.к. дейінгі бұрылмайтын және бұрылатын қайырмасы бар шынжыр табанды бульдозерлерге қатысты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10 қарашадағы № 148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w:t>
      </w:r>
      <w:r>
        <w:rPr>
          <w:rFonts w:ascii="Times New Roman"/>
          <w:b w:val="false"/>
          <w:i w:val="false"/>
          <w:color w:val="000000"/>
          <w:sz w:val="28"/>
        </w:rPr>
        <w:t>№ 8 қосымша</w:t>
      </w:r>
      <w:r>
        <w:rPr>
          <w:rFonts w:ascii="Times New Roman"/>
          <w:b w:val="false"/>
          <w:i w:val="false"/>
          <w:color w:val="000000"/>
          <w:sz w:val="28"/>
        </w:rPr>
        <w:t xml:space="preserve">)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одақтың ішкі нарығын қорғау департаментінің баяндамасы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Қытай Халық Республикасынан шығарылатын және ЕАЭО СЭҚ ТН 8429 11 009 0 кодымен сыныпталатын, Еуразиялық экономикалық одақтың кедендік аумағына әкелінетін, қуаты 250 а.к. дейінгі бұрылмайтын және бұрылатын қайырмасы бар шынжыр табанды бульдозерлерге қатысты </w:t>
      </w:r>
      <w:r>
        <w:rPr>
          <w:rFonts w:ascii="Times New Roman"/>
          <w:b w:val="false"/>
          <w:i w:val="false"/>
          <w:color w:val="000000"/>
          <w:sz w:val="28"/>
        </w:rPr>
        <w:t>қосымшаға</w:t>
      </w:r>
      <w:r>
        <w:rPr>
          <w:rFonts w:ascii="Times New Roman"/>
          <w:b w:val="false"/>
          <w:i w:val="false"/>
          <w:color w:val="000000"/>
          <w:sz w:val="28"/>
        </w:rPr>
        <w:t xml:space="preserve"> сәйкес мөлшерде демпингке қарсы баж енгізу арқылы демпингке қарсы шара қолданылып, бұл демпингке қарсы шараның қолданылу мерзімі 5 жыл болып белгіленсін.</w:t>
      </w:r>
    </w:p>
    <w:bookmarkStart w:name="z3" w:id="0"/>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уәкілеттік берілген мемлекеттік органдары ЕАЭО СЭҚ ТН кодын да, тауардың атауын да басшылыққа ала отырып, осы Шешімде көзделген демпингке қарсы бажды өндіріп алуды қамтамасыз етсін.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қарашадағы</w:t>
            </w:r>
            <w:r>
              <w:br/>
            </w:r>
            <w:r>
              <w:rPr>
                <w:rFonts w:ascii="Times New Roman"/>
                <w:b w:val="false"/>
                <w:i w:val="false"/>
                <w:color w:val="000000"/>
                <w:sz w:val="20"/>
              </w:rPr>
              <w:t>№ 148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Демпингке қарсы баж МӨЛШЕРЛЕМЕЛЕРІНІҢ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Демпингке қарсы баж мөлшерлемесінің мөлшері (кедендік құннан пайыз)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 а.к. дейінгі бұрылмайтын және бұрылатын қайырмасы бар шынжыр табанды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Xuanhua Construction Machinery Co., Ltd (No. 21, Dongsheng Road, Xuanhua, Hebei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Shantui Construction Machinery Co., Ltd (No. 58, Highway G327, High-Tech District, JiningCity,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Shanxi Zoomlion Heavy Industry Science &amp; Technology Machinery Co., Ltd (Guanbei Village, Huayin City, Shanxi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Tianjin Liugong Machinery Co., Ltd. (No. 203, Jingsan Road, Tianjin Airport Economic Area,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