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af285a" w14:textId="baf285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Қытай Халық Республикасынан шығарылатын және Еуразиялық экономикалық одақтың кедендік аумағына әкелінетін, қуаты 250 а.к. дейінгі бұрылмайтын және бұрылатын қайырмасы бар шынжыр табанды бульдозерлерге қатысты демпингке қарсы шара қолдану туралы</w:t>
      </w:r>
    </w:p>
    <w:p>
      <w:pPr>
        <w:spacing w:after="0"/>
        <w:ind w:left="0"/>
        <w:jc w:val="both"/>
      </w:pPr>
      <w:r>
        <w:rPr>
          <w:rFonts w:ascii="Times New Roman"/>
          <w:b w:val="false"/>
          <w:i w:val="false"/>
          <w:color w:val="000000"/>
          <w:sz w:val="28"/>
        </w:rPr>
        <w:t>Еуразиялық экономикалық комиссия Алқасының 2015 жылғы 10 қарашадағы № 148 шешімі</w:t>
      </w:r>
    </w:p>
    <w:p>
      <w:pPr>
        <w:spacing w:after="0"/>
        <w:ind w:left="0"/>
        <w:jc w:val="left"/>
      </w:pPr>
    </w:p>
    <w:p>
      <w:pPr>
        <w:spacing w:after="0"/>
        <w:ind w:left="0"/>
        <w:jc w:val="both"/>
      </w:pPr>
      <w:r>
        <w:rPr>
          <w:rFonts w:ascii="Times New Roman"/>
          <w:b w:val="false"/>
          <w:i w:val="false"/>
          <w:color w:val="000000"/>
          <w:sz w:val="28"/>
        </w:rPr>
        <w:t xml:space="preserve">
      Үшінші елдерге қатысты арнайы қорғау, демпингке қарсы және өтемақы шараларын қолдану туралы хаттаманың (2014 жылғы 29 мамырдағы Еуразиялық экономикалық одақ туралы шартқа </w:t>
      </w:r>
      <w:r>
        <w:rPr>
          <w:rFonts w:ascii="Times New Roman"/>
          <w:b w:val="false"/>
          <w:i w:val="false"/>
          <w:color w:val="000000"/>
          <w:sz w:val="28"/>
        </w:rPr>
        <w:t>№ 8 қосымша</w:t>
      </w:r>
      <w:r>
        <w:rPr>
          <w:rFonts w:ascii="Times New Roman"/>
          <w:b w:val="false"/>
          <w:i w:val="false"/>
          <w:color w:val="000000"/>
          <w:sz w:val="28"/>
        </w:rPr>
        <w:t xml:space="preserve">) </w:t>
      </w:r>
      <w:r>
        <w:rPr>
          <w:rFonts w:ascii="Times New Roman"/>
          <w:b w:val="false"/>
          <w:i w:val="false"/>
          <w:color w:val="000000"/>
          <w:sz w:val="28"/>
        </w:rPr>
        <w:t>107-тармағына</w:t>
      </w:r>
      <w:r>
        <w:rPr>
          <w:rFonts w:ascii="Times New Roman"/>
          <w:b w:val="false"/>
          <w:i w:val="false"/>
          <w:color w:val="000000"/>
          <w:sz w:val="28"/>
        </w:rPr>
        <w:t xml:space="preserve"> сәйкес және Еуразиялық экономикалық одақтың ішкі нарығын қорғау департаментінің баяндамасы негізінде Еуразиялық экономикалық комиссия Алқасы </w:t>
      </w:r>
      <w:r>
        <w:rPr>
          <w:rFonts w:ascii="Times New Roman"/>
          <w:b/>
          <w:i w:val="false"/>
          <w:color w:val="000000"/>
          <w:sz w:val="28"/>
        </w:rPr>
        <w:t>шешті: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Қытай Халық Республикасынан шығарылатын және ЕАЭО СЭҚ ТН 8429 11 009 0 кодымен сыныпталатын, Еуразиялық экономикалық одақтың кедендік аумағына әкелінетін, қуаты 250 а.к. дейінгі бұрылмайтын және бұрылатын қайырмасы бар шынжыр табанды бульдозерлерге қатысты </w:t>
      </w:r>
      <w:r>
        <w:rPr>
          <w:rFonts w:ascii="Times New Roman"/>
          <w:b w:val="false"/>
          <w:i w:val="false"/>
          <w:color w:val="000000"/>
          <w:sz w:val="28"/>
        </w:rPr>
        <w:t>қосымшаға</w:t>
      </w:r>
      <w:r>
        <w:rPr>
          <w:rFonts w:ascii="Times New Roman"/>
          <w:b w:val="false"/>
          <w:i w:val="false"/>
          <w:color w:val="000000"/>
          <w:sz w:val="28"/>
        </w:rPr>
        <w:t xml:space="preserve"> сәйкес мөлшерде демпингке қарсы баж енгізу арқылы демпингке қарсы шара қолданылып, бұл демпингке қарсы шараның қолданылу мерзімі 5 жыл болып белгіленсін.</w:t>
      </w:r>
    </w:p>
    <w:bookmarkStart w:name="z3" w:id="0"/>
    <w:p>
      <w:pPr>
        <w:spacing w:after="0"/>
        <w:ind w:left="0"/>
        <w:jc w:val="both"/>
      </w:pPr>
      <w:r>
        <w:rPr>
          <w:rFonts w:ascii="Times New Roman"/>
          <w:b w:val="false"/>
          <w:i w:val="false"/>
          <w:color w:val="000000"/>
          <w:sz w:val="28"/>
        </w:rPr>
        <w:t>
      2. Еуразиялық экономикалық одаққа мүше мемлекеттердің кеден ісі саласында уәкілеттік берілген мемлекеттік органдары ЕАЭО СЭҚ ТН кодын да, тауардың атауын да басшылыққа ала отырып, осы Шешімде көзделген демпингке қарсы бажды өндіріп алуды қамтамасыз етсін.</w:t>
      </w:r>
    </w:p>
    <w:bookmarkEnd w:id="0"/>
    <w:bookmarkStart w:name="z4" w:id="1"/>
    <w:p>
      <w:pPr>
        <w:spacing w:after="0"/>
        <w:ind w:left="0"/>
        <w:jc w:val="both"/>
      </w:pPr>
      <w:r>
        <w:rPr>
          <w:rFonts w:ascii="Times New Roman"/>
          <w:b w:val="false"/>
          <w:i w:val="false"/>
          <w:color w:val="000000"/>
          <w:sz w:val="28"/>
        </w:rPr>
        <w:t>
      3. Осы Шешім ресми жарияланған күнінен бастап күнтізбелік 30 күн өткен соң күшіне енеді.</w:t>
      </w:r>
    </w:p>
    <w:bookmarkEnd w:id="1"/>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Еуразиялық экономикалық комиссия</w:t>
            </w:r>
          </w:p>
          <w:p>
            <w:pPr>
              <w:spacing w:after="20"/>
              <w:ind w:left="20"/>
              <w:jc w:val="both"/>
            </w:pPr>
          </w:p>
          <w:p>
            <w:pPr>
              <w:spacing w:after="20"/>
              <w:ind w:left="20"/>
              <w:jc w:val="both"/>
            </w:pPr>
            <w:r>
              <w:rPr>
                <w:rFonts w:ascii="Times New Roman"/>
                <w:b w:val="false"/>
                <w:i/>
                <w:color w:val="000000"/>
                <w:sz w:val="20"/>
              </w:rPr>
              <w:t>Алқасының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В. Христенко</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Еуразиялық экономикалық</w:t>
            </w:r>
            <w:r>
              <w:br/>
            </w:r>
            <w:r>
              <w:rPr>
                <w:rFonts w:ascii="Times New Roman"/>
                <w:b w:val="false"/>
                <w:i w:val="false"/>
                <w:color w:val="000000"/>
                <w:sz w:val="20"/>
              </w:rPr>
              <w:t>комиссия Алқасының</w:t>
            </w:r>
            <w:r>
              <w:br/>
            </w:r>
            <w:r>
              <w:rPr>
                <w:rFonts w:ascii="Times New Roman"/>
                <w:b w:val="false"/>
                <w:i w:val="false"/>
                <w:color w:val="000000"/>
                <w:sz w:val="20"/>
              </w:rPr>
              <w:t>2015 жылғы 10 қарашадағы</w:t>
            </w:r>
            <w:r>
              <w:br/>
            </w:r>
            <w:r>
              <w:rPr>
                <w:rFonts w:ascii="Times New Roman"/>
                <w:b w:val="false"/>
                <w:i w:val="false"/>
                <w:color w:val="000000"/>
                <w:sz w:val="20"/>
              </w:rPr>
              <w:t>№ 148 шешіміне</w:t>
            </w:r>
            <w:r>
              <w:br/>
            </w:r>
            <w:r>
              <w:rPr>
                <w:rFonts w:ascii="Times New Roman"/>
                <w:b w:val="false"/>
                <w:i w:val="false"/>
                <w:color w:val="000000"/>
                <w:sz w:val="20"/>
              </w:rPr>
              <w:t>ҚОСЫМША</w:t>
            </w:r>
          </w:p>
        </w:tc>
      </w:tr>
    </w:tbl>
    <w:bookmarkStart w:name="z6" w:id="2"/>
    <w:p>
      <w:pPr>
        <w:spacing w:after="0"/>
        <w:ind w:left="0"/>
        <w:jc w:val="left"/>
      </w:pPr>
      <w:r>
        <w:rPr>
          <w:rFonts w:ascii="Times New Roman"/>
          <w:b/>
          <w:i w:val="false"/>
          <w:color w:val="000000"/>
        </w:rPr>
        <w:t xml:space="preserve"> Демпингке қарсы баж МӨЛШЕРЛЕМЕЛЕРІНІҢ МӨЛШЕРІ</w:t>
      </w:r>
    </w:p>
    <w:bookmarkEnd w:id="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Өндіруші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Демпингке қарсы баж мөлшерлемесінің мөлшері (кедендік құннан пайыз)
</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Қуаты 250 а.к. дейінгі бұрылмайтын және бұрылатын қайырмасы бар шынжыр табанды бульдозерлер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Xuanhua Construction Machinery Co., Ltd (No. 21, Dongsheng Road, Xuanhua, Hebei Province, China)</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9,65</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Shantui Construction Machinery Co., Ltd (No. 58, Highway G327, High-Tech District, JiningCity, Shandong Province, China)</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11,31</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Shanxi Zoomlion Heavy Industry Science &amp; Technology Machinery Co., Ltd (Guanbei Village, Huayin City, Shanxi Province, China)</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13,80</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Tianjin Liugong Machinery Co., Ltd. (No. 203, Jingsan Road, Tianjin Airport Economic Area, China)</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44,65</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44,65</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