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29a3" w14:textId="0902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Бұрғылау тереңдігі кемінде 200 м бұрғылау машиналарына қатысты Еуразиялық экономикалық одақтың Бірыңғай кедендік тарифінің кедендік әкелу баждарының мөлшерлемелерін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10 қарашадағы № 145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Бұрғылау тереңдігі кемінде 200 м, ЕАЭО СЭҚ ТН 8430 41 000 1 және 8430 49 000 1 кодтарымен сыныпталатын бұрғылау машиналарына қатысты Еуразиялық экономикалық одақтың Бірыңғай кедендік тарифінің (Еуразиялық экономикалық комиссия Кеңесінің 2012 жылғы 16 шілдедегі № 54 шешіміне қосымша) кедендік әкелу баждарының мөлшерлемелері 2017 жылғы1 қаңтардан бастап 2017 жылғы 31 желтоқсанды қоса алғанда кедендік құнның 2 пайызы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8430 41 000 1 және 8430 49 000 1 кодтары бар позициялар төртінші бағанда "</w:t>
      </w:r>
      <w:r>
        <w:rPr>
          <w:rFonts w:ascii="Times New Roman"/>
          <w:b w:val="false"/>
          <w:i w:val="false"/>
          <w:color w:val="000000"/>
          <w:vertAlign w:val="superscript"/>
        </w:rPr>
        <w:t>61С)</w:t>
      </w:r>
      <w:r>
        <w:rPr>
          <w:rFonts w:ascii="Times New Roman"/>
          <w:b w:val="false"/>
          <w:i w:val="false"/>
          <w:color w:val="000000"/>
          <w:sz w:val="28"/>
        </w:rPr>
        <w:t>" деген ескертпеге сілтемемен толықтырылсын;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ескертпелер мынадай мазмұндағы 61С ескертпемен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61С)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құнның 2%-ы мөлшеріндегі кедендік әкелу бажының мөлшерлемесі 2017 жылғы 01 қаңтардан бастап 2017 жылғы 31 желтоқсанды қоса алғанда қолданылады.".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