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a995" w14:textId="24aa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2014 жылғы 28 қазандағы № 195 шешімінің 2-тармағының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2015 жылғы 6 қазандағы № 132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7-тармағына</w:t>
      </w:r>
      <w:r>
        <w:rPr>
          <w:rFonts w:ascii="Times New Roman"/>
          <w:b w:val="false"/>
          <w:i w:val="false"/>
          <w:color w:val="000000"/>
          <w:sz w:val="28"/>
        </w:rPr>
        <w:t xml:space="preserve">, </w:t>
      </w:r>
      <w:r>
        <w:rPr>
          <w:rFonts w:ascii="Times New Roman"/>
          <w:b w:val="false"/>
          <w:i w:val="false"/>
          <w:color w:val="000000"/>
          <w:sz w:val="28"/>
        </w:rPr>
        <w:t>43-тармағының</w:t>
      </w:r>
      <w:r>
        <w:rPr>
          <w:rFonts w:ascii="Times New Roman"/>
          <w:b w:val="false"/>
          <w:i w:val="false"/>
          <w:color w:val="000000"/>
          <w:sz w:val="28"/>
        </w:rPr>
        <w:t xml:space="preserve"> 2-тармақшасына және </w:t>
      </w:r>
      <w:r>
        <w:rPr>
          <w:rFonts w:ascii="Times New Roman"/>
          <w:b w:val="false"/>
          <w:i w:val="false"/>
          <w:color w:val="000000"/>
          <w:sz w:val="28"/>
        </w:rPr>
        <w:t>48-тармағына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"Көлік құралы паспортының (көлік құралы шассиі паспортының) және өздігінен жүретін машина мен басқа да техника түрлері паспортының бірыңғай нысандарын енгізу және электрондық паспорттар жүйелерін ұйымдастыру туралы келісімді іске асыру жөніндегі жұмыс тобы туралы" 2014 жылғы 28 қазандағы № 195 шешімінің 2-тармағының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 xml:space="preserve">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Слепнев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