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a32c5" w14:textId="5ca3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Қырғыз Республикасы өтпелі кезең ішінде Еуразиялық экономикалық одақтың Бірыңғай кедендік тарифінде белгіленген баждар мөлшерлемелерінен өзгеше кедендік әкелу баждары мөлшерлемелерін қолданатын тауарлар мен мөлшерлемелер тізбесін бекіту туралы</w:t>
      </w:r>
    </w:p>
    <w:p>
      <w:pPr>
        <w:spacing w:after="0"/>
        <w:ind w:left="0"/>
        <w:jc w:val="both"/>
      </w:pPr>
      <w:r>
        <w:rPr>
          <w:rFonts w:ascii="Times New Roman"/>
          <w:b w:val="false"/>
          <w:i w:val="false"/>
          <w:color w:val="000000"/>
          <w:sz w:val="28"/>
        </w:rPr>
        <w:t>Еуразиялық экономикалық комиссия Алқасының 2015 жылғы 30 маусымдағы № 68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шартқа Қырғыз Республикасының қосылуы туралы шартқа 2014 жылғы 23 желтоқсанда қол қойылуына байланысты және 2014 жылғы 29 мамырдағы Еуразиялық экономикалық одақ туралы шарттың </w:t>
      </w:r>
      <w:r>
        <w:rPr>
          <w:rFonts w:ascii="Times New Roman"/>
          <w:b w:val="false"/>
          <w:i w:val="false"/>
          <w:color w:val="000000"/>
          <w:sz w:val="28"/>
        </w:rPr>
        <w:t>42-бабына</w:t>
      </w:r>
      <w:r>
        <w:rPr>
          <w:rFonts w:ascii="Times New Roman"/>
          <w:b w:val="false"/>
          <w:i w:val="false"/>
          <w:color w:val="000000"/>
          <w:sz w:val="28"/>
        </w:rPr>
        <w:t xml:space="preserve">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1. Қоса беріліп отырған Қырғыз Республикасы өтпелі кезең ішінде Еуразиялық экономикалық одақтың Бірыңғай кедендік тарифінде белгіленген баждар мөлшерлемелерінен өзгеше кедендік әкелу баждары мөлшерлемелерін қолданатын тауарлар мен мөлшерлемелердің тізбесі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бірақ 2014 жылғы 29 мамырдағы Еуразиялық экономикалық одақ туралы шартқа Қырғыз Республикасының қосылуы туралы 2014 жылғы  23 желтоқсандағы шарт күшіне енген күннен кейін күшіне енеді және Жоғары Еуразиялық экономикалық кеңестің 2015 жылғы 8 мамырдағы № 5 шешімі күшіне енген күннен бастап туындайтын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комиссияның</w:t>
            </w:r>
            <w:r>
              <w:br/>
            </w:r>
            <w:r>
              <w:rPr>
                <w:rFonts w:ascii="Times New Roman"/>
                <w:b w:val="false"/>
                <w:i w:val="false"/>
                <w:color w:val="000000"/>
                <w:sz w:val="20"/>
              </w:rPr>
              <w:t>2015 жылғы 30 маусымдағы</w:t>
            </w:r>
            <w:r>
              <w:br/>
            </w:r>
            <w:r>
              <w:rPr>
                <w:rFonts w:ascii="Times New Roman"/>
                <w:b w:val="false"/>
                <w:i w:val="false"/>
                <w:color w:val="000000"/>
                <w:sz w:val="20"/>
              </w:rPr>
              <w:t>№ 68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Қырғыз Республикасы өтпелі кезең ішінде Еуразиялық экономикалық одақтың  Бірыңғай кедендік тарифінде белгіленген баждар мөлшерлемелерінен  өзгеше кедендік әкелу баждары мөлшерлемелерін қолданатын тауарлар мен мөлшерлемелер  ТІЗБЕСІ</w:t>
      </w:r>
    </w:p>
    <w:bookmarkEnd w:id="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 мөлшерлемесі (кедендік құнның пайызымен не  еуромен, не АҚШ долларымен)*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w:t>
            </w:r>
          </w:p>
          <w:p>
            <w:pPr>
              <w:spacing w:after="20"/>
              <w:ind w:left="20"/>
              <w:jc w:val="both"/>
            </w:pPr>
            <w:r>
              <w:rPr>
                <w:rFonts w:ascii="Times New Roman"/>
                <w:b w:val="false"/>
                <w:i w:val="false"/>
                <w:color w:val="000000"/>
                <w:sz w:val="20"/>
              </w:rPr>
              <w:t>
жылға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p>
            <w:pPr>
              <w:spacing w:after="20"/>
              <w:ind w:left="20"/>
              <w:jc w:val="both"/>
            </w:pPr>
            <w:r>
              <w:rPr>
                <w:rFonts w:ascii="Times New Roman"/>
                <w:b w:val="false"/>
                <w:i w:val="false"/>
                <w:color w:val="000000"/>
                <w:sz w:val="20"/>
              </w:rPr>
              <w:t>
жылға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0511 10 000 0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бұқа  шәуеті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0511 91 901 9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0602 90 450 0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тамырланған қалемше және жас өсімдіктер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0701 10 000 0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0713 33 100 0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егуге арналған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1005 10 110 0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қосарлы гибридтер және топкростық гибридтер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1005 10 150 0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жай гибридтер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2309 90 100 0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балықтың еритін өнімдері немесе теңіздің сүтқоректі жануарларынан дайындалған өнімдер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2309 90 990 0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түрде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2922 41 000 0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лизин және оның күрделі эфирлері; осы қосылыстардың тұздары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3002 10 100 9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3002 10 910 0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гемоглобин, қан глобулиндері және сарысу глобулиндері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қанның ұю факторлары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3002 10 990 0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гепатитіне қарсы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ветеринариялық вакциналар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микроорганизмдер дақылдары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әрекет ету заты ретінде: ампициллин тригидраты немесе ампициллин натрий тұзы немесе бензилпенициллин тұзы және қосылыстары немесе карбенициллин немесе оксациллин немесе сулациллин (сультамициллин) немесе феноксиметилпенициллин ғана болатын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негізгі әрекет ету заты ретінде стрептомицин сульфаты ғана болатын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әрекет ету заты ретінде: амикацин</w:t>
            </w:r>
          </w:p>
          <w:p>
            <w:pPr>
              <w:spacing w:after="20"/>
              <w:ind w:left="20"/>
              <w:jc w:val="both"/>
            </w:pPr>
            <w:r>
              <w:rPr>
                <w:rFonts w:ascii="Times New Roman"/>
                <w:b w:val="false"/>
                <w:i w:val="false"/>
                <w:color w:val="000000"/>
                <w:sz w:val="20"/>
              </w:rPr>
              <w:t>
         немесе гентамицин немесе гризеофульвин немесе доксициклин немесе доксорубицин немесе канамицин немесе фузиди қышқылы және оның натрий тұзы немесе левомицетин (хлорамфеникол) және оның тұздары немесе линкомицин немесе метациклин немесе нистатин немесе рифампицин немесе цефазолин немесе цефалексин немесе цефалотин немесе эритромицин негізді ғана болатын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әрекет ету заты ретінде эритромицин негізді немесе канамицин сульфаты ғана болатын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қалыпталып өлшеп оралғандар немесе бөлшек сауда үшін буып-түйілгендер және құрамында негізгі әрекет ету заты ретінде флуоцинолон ғана болатын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қалыпталып өлшеп оралғандар немесе  бөлшек сауда үшін буып-түйілгендер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қалыпталып өлшеп оралғандар немесе  бөлшек сауда үшін буып-түйілгендер және құрамында негізгі әрекет ету заты ретінде: кофеин-бензоат натрийі немесе  ксантинол никотинаты немесе папаверин немесе пилокарпин немесе теобромин немесе теофиллин ғана болатын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әрекет ету заты ретінде: аскорбин қышқылы (С дәрумені) немесе никотин қышқылы немесе кокарбоксилаза немесе никотинамид немесе пиридоксин немесе тиамин және оның тұздары (В</w:t>
            </w:r>
            <w:r>
              <w:rPr>
                <w:rFonts w:ascii="Times New Roman"/>
                <w:b w:val="false"/>
                <w:i w:val="false"/>
                <w:color w:val="000000"/>
                <w:vertAlign w:val="subscript"/>
              </w:rPr>
              <w:t>1</w:t>
            </w:r>
            <w:r>
              <w:rPr>
                <w:rFonts w:ascii="Times New Roman"/>
                <w:b w:val="false"/>
                <w:i w:val="false"/>
                <w:color w:val="000000"/>
                <w:sz w:val="20"/>
              </w:rPr>
              <w:t>дәрумені) немесе цианокобаламин (В</w:t>
            </w:r>
            <w:r>
              <w:rPr>
                <w:rFonts w:ascii="Times New Roman"/>
                <w:b w:val="false"/>
                <w:i w:val="false"/>
                <w:color w:val="000000"/>
                <w:vertAlign w:val="subscript"/>
              </w:rPr>
              <w:t>12</w:t>
            </w:r>
            <w:r>
              <w:rPr>
                <w:rFonts w:ascii="Times New Roman"/>
                <w:b w:val="false"/>
                <w:i w:val="false"/>
                <w:color w:val="000000"/>
                <w:sz w:val="20"/>
              </w:rPr>
              <w:t>дәрумені) ғана болатын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әрекет ету заты ретінде альфа-токоферол ацетат (Е дәрумені) ғана  болатын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негізгі әрекет ету заты ретінде: кокарбоксилаза немесе аскорбин қышқылы (С дәрумені) немесе цианокобаламин</w:t>
            </w:r>
          </w:p>
          <w:p>
            <w:pPr>
              <w:spacing w:after="20"/>
              <w:ind w:left="20"/>
              <w:jc w:val="both"/>
            </w:pPr>
            <w:r>
              <w:rPr>
                <w:rFonts w:ascii="Times New Roman"/>
                <w:b w:val="false"/>
                <w:i w:val="false"/>
                <w:color w:val="000000"/>
                <w:sz w:val="20"/>
              </w:rPr>
              <w:t>(В</w:t>
            </w:r>
            <w:r>
              <w:rPr>
                <w:rFonts w:ascii="Times New Roman"/>
                <w:b w:val="false"/>
                <w:i w:val="false"/>
                <w:color w:val="000000"/>
                <w:vertAlign w:val="subscript"/>
              </w:rPr>
              <w:t>12</w:t>
            </w:r>
            <w:r>
              <w:rPr>
                <w:rFonts w:ascii="Times New Roman"/>
                <w:b w:val="false"/>
                <w:i w:val="false"/>
                <w:color w:val="000000"/>
                <w:sz w:val="20"/>
              </w:rPr>
              <w:t>дәрумені) ғана болатын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йод немесе йод қосылыстары болатын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негізгі әрекет ету заты ретінде: ацетилсалицил қышқылы немесе парацетамол немесе рибоксин (инозин) немесе поливинилпирролидон ғана болатын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3005 10 000 0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адгезивті таңу материалы және жабысқақ қабаты бар өзге де бұйымдар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3006 20 000 0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 тобын анықтауға арналған реагенттер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рентгеногpафиялық зерттеулерге арналған контрастық препараттар; сырқаттарды егуге арналған диагностикалық реагенттер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3006 60 100 1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қалыпталып өлшеп оралғандар немесе  бөлшек сауда үшін буып-түйілгендер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спеpмицидтер негізді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3204 19 000 0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3204 11 – 3204 19 қосалқы позициялардағы екі немесе одан көп бояғыш заттардың қоспасын қоса алғанда,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3302 10 400 0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оқ-дәріден басқа, дайын жарылғыш заттар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3603 00 100 9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электрлік емес оталдырғыш капсюльдер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3808 93 130 0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триазиндер негізді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3808 93 150 0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амидтер негізді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3808 93 170 0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карбаматтар негізді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3808 93 210 0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туынды динитроанилиннегізді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3808 93 230 0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туынды карбамид, урацил немесе сульфонилкарбамид негізді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3808 93 270 0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3810 90 900 0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3822 00 000 0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немесе 3006 тауар позициясының тауарларын қоспағанда, түптөсемді диагностикалық немесе зертханалық реагенттер, түптөсемді немесе түптөсемсіз дайын диагностикалық немесе зертханалық реагенттер; сертификатталған эталондық материалдар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3824 90 640 0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күш конденсаторларын өндіруге арналған сіңіргіш сұйықтық</w:t>
            </w:r>
            <w:r>
              <w:rPr>
                <w:rFonts w:ascii="Times New Roman"/>
                <w:b w:val="false"/>
                <w:i w:val="false"/>
                <w:color w:val="000000"/>
                <w:vertAlign w:val="superscript"/>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3907 60 800 0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3918 90 000 0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пластмассалардан жасалған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3919 10 120 0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поливинилхлоридтен немесе полиэтиленнен жасалған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3919 10 150 0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полипропиленнен жасалған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3919 10 190 0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созылмалы пленка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өзгеде  пластмассалардан жасалған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3923 30 109 0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3923 30 901 0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сыйымдылығы 2 л асатын бұйымдар жасауға арналған преформалар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3923 90 000 0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4015 11 000 0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хирургиялық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7202 60 000 0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ферроникель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7210 20 000 0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қорғасын-қалайы қорытпасын қоса алғанда, гальваникалық немесе басқа қорғасын жабынмен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7217 10 100 0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көлденең мөлшері 0,8 мм-ден кем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7217 30 410 0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мыспен қапталған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7318 15 590 0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7318 16 100 0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шыбықшалардан, профильдерден немесе біркелкі көлденең қима сымдардан ұшталып жасалған, тесік диаметрі 6 мм-ден аспайтын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жоғары көлденең қима мөлшері 0,5 мм-ден аспайтын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7408 21 000 0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мыс пен мырыш (латунь) негізді қорытпалардан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 қорытпаларынан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профильдер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жалюзиге арналған жолақтар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қорытпаларынан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жуандығы 0,021 мм-ден кем емес, бірақ 0,2 мм-ден аспайтын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өзі желімделетін</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жуандығы 0,021 мм-ден кем емес, бірақ 0,2 мм-ден аспайтын (негізін есептемегенде)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8101 96 000 0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8102 96 000 0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көлденеңінен ең аз мөлшері 100 см-ден, тігінен ең аз мөлшері 130 см-ден аспайтын, номиналдық кернеуі 250 В-тан аспайтын, өнімділігі 1500 м</w:t>
            </w:r>
            <w:r>
              <w:rPr>
                <w:rFonts w:ascii="Times New Roman"/>
                <w:b w:val="false"/>
                <w:i w:val="false"/>
                <w:color w:val="000000"/>
                <w:vertAlign w:val="superscript"/>
              </w:rPr>
              <w:t>3</w:t>
            </w:r>
            <w:r>
              <w:rPr>
                <w:rFonts w:ascii="Times New Roman"/>
                <w:b w:val="false"/>
                <w:i w:val="false"/>
                <w:color w:val="000000"/>
                <w:sz w:val="20"/>
              </w:rPr>
              <w:t>/сағ-тан аспайтын, май тұтқыш</w:t>
            </w:r>
          </w:p>
          <w:p>
            <w:pPr>
              <w:spacing w:after="20"/>
              <w:ind w:left="20"/>
              <w:jc w:val="both"/>
            </w:pPr>
            <w:r>
              <w:rPr>
                <w:rFonts w:ascii="Times New Roman"/>
                <w:b w:val="false"/>
                <w:i w:val="false"/>
                <w:color w:val="000000"/>
                <w:sz w:val="20"/>
              </w:rPr>
              <w:t xml:space="preserve">элементі немесе оны орнататын орны бар, ауа өткізгіш қосуға арналған отыратын орны бар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абсорбциялық жылу сорғылары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8424 81 910 0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тракторларға орнатуға немесе  осы тракторлармен тіркеп сүйреуге арналған, ұнтақтарды бүріккіштер және таратқыштар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8424 81 990 0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8432 21 000 0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дискілік тырмалар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8432 30 190 0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8433 40 000 1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тайлап буатын жинағыштар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шығарылған кезінен бастап 3 жылдан астам уақыт өткендер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8433 53 300 0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қызылша сабақтарын турағыш машиналар және қызылша жинағыш машиналар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8436 10 000 0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жануарларға жемшөп дайындауға арналған машиналар мен механизмдер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8437 10 000 0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тұқымдарды, астықты немесе құрғақ бұршақ тұқымдас дақылдарды тазартуға, сұрыптауға немесе калибрлеуге  арналған машиналар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8457 20 000 0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агрегаттық бір  позициялы станоктар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сығымдау күші 200 МН, жұмыс үстелінде бір мезгілде үш штампты орналастыру мүмкіндігі бар, штамптарды газбен қыздыру жүйесімен жарақтандырылған қақтау-штамптау гидравликалық престер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8467 22 100 0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шынжырлы 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8467 22 300 0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дискілі 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8542 32 900 9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8701 20 101 3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 немесе одан жоғары экологиялық класты</w:t>
            </w:r>
            <w:r>
              <w:rPr>
                <w:rFonts w:ascii="Times New Roman"/>
                <w:b w:val="false"/>
                <w:i w:val="false"/>
                <w:color w:val="000000"/>
                <w:vertAlign w:val="superscript"/>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шығарылған кезден бастап 5 жылдан астам, бірақ 7 жылдан аспайтын уақыт өткендер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8701 90 110 0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18 кВт-тан аспайтын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8701 90 200 0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18 кВт-тан астам, бірақ 37 кВт-тан аспайтын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8701 90 250 0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37 кВт-тан астам,бірақ 59 кВт-тан аспайтын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8701 90 310 0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59 кВт-тан астам,бірақ, 75 кВт-тан аспайтын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8701 90 350 0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75 кВт-тан астам,бірақ 90 кВт-тан аспайтын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8701 90 390 9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8701 90 900 0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8702 10 119 9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8702 90 119 0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8702 90 909 0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8703 23 191 0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қозғалтқыш цилиндрлерінің жұмыс көлемі 1500 см³- ден астам, бірақ 1800 см³-ден аспайтын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8703 23 192 1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қозғалтқыш цилиндрлерінің жұмыс көлемі 1800 см³- ден  астам, бірақ 2300 см³-ден аспайтын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8703 23 192 2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8703 33 199 0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8704 22 910 8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8708 21 900 9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8708 40 500 9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8716 20 000 0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ауыл шаруашылығына арналған, өзі тиейтін немесе өзі түсіретін тіркемелер мен жартылай тіркемелер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8716 31 000 0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тіркеме-цистерналар және жартылай тіркеме-цистерналар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автомобильдік, толық массасы 15 тоннадан астам және габариттік ұзындығы 13,6 м-ден аспайтын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автомобильдік рефрижераторлық, </w:t>
            </w:r>
          </w:p>
          <w:p>
            <w:pPr>
              <w:spacing w:after="20"/>
              <w:ind w:left="20"/>
              <w:jc w:val="both"/>
            </w:pPr>
            <w:r>
              <w:rPr>
                <w:rFonts w:ascii="Times New Roman"/>
                <w:b w:val="false"/>
                <w:i w:val="false"/>
                <w:color w:val="000000"/>
                <w:sz w:val="20"/>
              </w:rPr>
              <w:t>шанағының ішкі көлемі  76 м³-ден аспайтын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көлік құралдары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көлемі 2 мл-ден аспайтын инсулинге арналған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9018 32 100 0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түтікшелі металл инелер</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қанды, қан алмастырғыштарды және инфузиялық ерітінділерді алуға және құюға арналған жүйелер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9406 00 310 0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жылыжайлар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мөлшерлемесі</w:t>
            </w:r>
          </w:p>
        </w:tc>
      </w:tr>
    </w:tbl>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 Кедендік әкелу баждарының мөлшерлемелері көрсетілген күнтізбелік жылдың 1 қаңтарынан бастап, ал 2015 жылы – Жоғары Еуразиялық экономикалық кеңес мемлекеттік шекараның қырғыз-қазақ учаскесі арқылы өткізілетін тауарлар мен көлік құралдарын кедендік бақылауды алып тастау туралы шешім қабылдаған күннен бастап қолданылады.  </w:t>
      </w:r>
    </w:p>
    <w:p>
      <w:pPr>
        <w:spacing w:after="0"/>
        <w:ind w:left="0"/>
        <w:jc w:val="both"/>
      </w:pPr>
      <w:r>
        <w:rPr>
          <w:rFonts w:ascii="Times New Roman"/>
          <w:b w:val="false"/>
          <w:i w:val="false"/>
          <w:color w:val="000000"/>
          <w:sz w:val="28"/>
        </w:rPr>
        <w:t xml:space="preserve">
      ** Көрсетілген тауарлардың декларанты болып табылатын тұлға Қырғыз Республикасының Еуразиялық экономикалық комиссияға жыл сайын табыс ететін ұйымдар мен адамдардың тиісті тізбесіне енгізілген жағдайда, сондай-ақ Еуразиялық экономикалық одаққа мүше мемлекеттің кеден органына Қырғыз Республикасы атқарушы билігінің уәкілетті органы әкелінетін тауардың нысаналы мақсатын растауы ұсынылған жағдайда кедендік әкелу бажының мөлшерлемесі қолданылады.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