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fb7e" w14:textId="12ef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Агроөнеркәсіптік кешен жөніндегі консультативтік комитет туралы ереже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19 мамырдағы № 58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44-тармақтарына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(2014 жылғы 29 мамырдағы Еуразиялық экономикалық одақ туралы шартқа № 1 қосымша)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Агроөнеркәсіптік кешен жөніндегі консультативтік комитет туралы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"Агроөнеркәсіптік кешен жөніндегі консультативтік комитет туралы" 2012 жылғы 19 шілдедегі № 13 шешімінің 2-тармағы екінші абзацының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Алқасының 2015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Агроөнеркәсіптік кешен жөніндегі консультативтік комитет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 xml:space="preserve">Агроөнеркәсіптік кешен жөніндегі консультативтік комитет (бұдан әрі – Комитет)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44-тармақтарына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(</w:t>
      </w:r>
      <w:r>
        <w:rPr>
          <w:rFonts w:ascii="Times New Roman"/>
          <w:b w:val="false"/>
          <w:i w:val="false"/>
          <w:color w:val="000000"/>
          <w:sz w:val="28"/>
        </w:rPr>
        <w:t>2014 жылғы 29 мамырдағы Еуразиялық экономикалық одақ туралы шартқа № 1 қосымша) Еуразиялық экономикалық комиссия Алқасының (бұдан әрі тиісінше – Алқа, Комиссия) жанынан құрылады.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Комиссияның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95-баптарына</w:t>
      </w:r>
      <w:r>
        <w:rPr>
          <w:rFonts w:ascii="Times New Roman"/>
          <w:b/>
          <w:i w:val="false"/>
          <w:color w:val="000000"/>
          <w:sz w:val="28"/>
        </w:rPr>
        <w:t xml:space="preserve"> сәйкес келісілген (үйлестірілген) агроөнеркәсіптік саясат жүргізу, ауыл шаруашылығын мемлекеттік қолдау, Еуразиялық экономикалық одаққа мүше мемлекеттердің (бұдан әрі тиісінше – мүше мемлекеттер, Одақ) агроөнеркәсіптік кешені саласындағы бағдарламалары мен жобаларын әзірлеу және іске асыру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барысы жөніндегі консультативтік орган болып табылады.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өз қызметінде 2014 жылғы 29 мамырдағы Еуразиялық экономикалық одақ туралы шартты, Одақ құқығын құрайтын басқа да халықаралық шарттар мен актілерді, Жоғары Еуразиялық экономикалық кеңестің 2014 жылғы 23 желтоқсандағы № 98 шешімімен бекітілген Еуразиялық экономикалық комиссияның Жұмыс регламентін</w:t>
      </w:r>
      <w:r>
        <w:rPr>
          <w:rFonts w:ascii="Times New Roman"/>
          <w:b/>
          <w:i w:val="false"/>
          <w:color w:val="000000"/>
          <w:sz w:val="28"/>
        </w:rPr>
        <w:t xml:space="preserve">, сондай-ақ осы Ережені басшылыққа алады.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ІІ. Комитеттің негізгі міндеттері мен функциялары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Комитеттің негізгі міндеттері: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 xml:space="preserve">) Комиссия үшін келісілген (үйлестірілген) агроөнеркәсіптік саясат мәселелері </w:t>
      </w:r>
      <w:r>
        <w:rPr>
          <w:rFonts w:ascii="Times New Roman"/>
          <w:b w:val="false"/>
          <w:i w:val="false"/>
          <w:color w:val="000000"/>
          <w:sz w:val="28"/>
        </w:rPr>
        <w:t>бойынша ұсынымдар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мүше мемлекеттердің өкілдерімен келісілген (үйлестірілген) агроөнеркәсіптік саясат мәселелері бойынша консультациялар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Одақ шеңберінде келісілген (үйлестірілген) агроөнеркәсіптік саясат жүргізуде бірыңғай тәсілдемелер қалыптастыру мәселелері бойынша Комиссия үшін ұсыныстар тұжырымдау болып табылады.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Өзіне жүктелген міндеттерді іске асыру үшін Комитет мынадай функцияларды жүзеге асырады: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) Комиссия үшін мынадай мәселелер бойынша ұсыныстар дайындайды: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агроөнеркәсіптік</w:t>
      </w:r>
      <w:r>
        <w:rPr>
          <w:rFonts w:ascii="Times New Roman"/>
          <w:b/>
          <w:i w:val="false"/>
          <w:color w:val="000000"/>
          <w:sz w:val="28"/>
        </w:rPr>
        <w:t xml:space="preserve"> кешенді Одақ шеңберінде дамытудың басымдықтарын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Дүниежүзілік сауда ұйымының талаптарына сай келетін келісілген (үйлестірілген) агроөнеркәсіптік саясаттың тиімді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тетіктері </w:t>
      </w:r>
      <w:r>
        <w:rPr>
          <w:rFonts w:ascii="Times New Roman"/>
          <w:b/>
          <w:i w:val="false"/>
          <w:color w:val="000000"/>
          <w:sz w:val="28"/>
        </w:rPr>
        <w:t>мен құралдарын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Одақ шеңберінде агроөнеркәсіптік кешендегі мемлекетаралық бағдарламалар мен жобаларды </w:t>
      </w:r>
      <w:r>
        <w:rPr>
          <w:rFonts w:ascii="Times New Roman"/>
          <w:b/>
          <w:i w:val="false"/>
          <w:color w:val="000000"/>
          <w:sz w:val="28"/>
        </w:rPr>
        <w:t>әзірлеу  және</w:t>
      </w:r>
      <w:r>
        <w:rPr>
          <w:rFonts w:ascii="Times New Roman"/>
          <w:b/>
          <w:i w:val="false"/>
          <w:color w:val="000000"/>
          <w:sz w:val="28"/>
        </w:rPr>
        <w:t xml:space="preserve">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агроөнеркәсіптік</w:t>
      </w:r>
      <w:r>
        <w:rPr>
          <w:rFonts w:ascii="Times New Roman"/>
          <w:b/>
          <w:i w:val="false"/>
          <w:color w:val="000000"/>
          <w:sz w:val="28"/>
        </w:rPr>
        <w:t xml:space="preserve"> саясат саласында Одақ құқығына кіретін халықаралық шарттар мен актілердің жобаларын әзірлеу және мүше мемлекеттердің ауыл шаруашылығын мемлекет қолдауына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агроөнеркәсіптік</w:t>
      </w:r>
      <w:r>
        <w:rPr>
          <w:rFonts w:ascii="Times New Roman"/>
          <w:b/>
          <w:i w:val="false"/>
          <w:color w:val="000000"/>
          <w:sz w:val="28"/>
        </w:rPr>
        <w:t xml:space="preserve"> кешен саласында өндірістік-техникалық кооперацияның және өндірістік интеграцияның нарықтық нысандарының дамуына жәрдемдесу;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мүше</w:t>
      </w:r>
      <w:r>
        <w:rPr>
          <w:rFonts w:ascii="Times New Roman"/>
          <w:b/>
          <w:i w:val="false"/>
          <w:color w:val="000000"/>
          <w:sz w:val="28"/>
        </w:rPr>
        <w:t xml:space="preserve"> мемлекеттердің ауыл шаруашылығын мемлекеттік қолдауын Ауыл шаруашылығын мемлекеттік қолдау шаралары туралы хаттамаға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29 қосымша</w:t>
      </w:r>
      <w:r>
        <w:rPr>
          <w:rFonts w:ascii="Times New Roman"/>
          <w:b/>
          <w:i w:val="false"/>
          <w:color w:val="000000"/>
          <w:sz w:val="28"/>
        </w:rPr>
        <w:t>) сәйкес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агроөнеркәсіптік</w:t>
      </w:r>
      <w:r>
        <w:rPr>
          <w:rFonts w:ascii="Times New Roman"/>
          <w:b/>
          <w:i w:val="false"/>
          <w:color w:val="000000"/>
          <w:sz w:val="28"/>
        </w:rPr>
        <w:t xml:space="preserve"> кешеннің бәсекеге қабілеттілігін және инновациялық және экспорттық әлеуетін арттыру мақсатында ғылыми-техникалық ынтымақтастықты дамытуға жәрдемдесу;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) Одақ шеңберінде ауыл шаруашылық өнімдері мен азық-түліктің негізгі түрлері бойынша сұраныс пен ұсыныстың болжамдық баланстарын қалыптастырудың бірыңғай қағидасын қарайды;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>) өзге де функцияларды жүзеге асырады.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ІІІ. Комитет құрамы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Комитет құрамы </w:t>
      </w:r>
      <w:r>
        <w:rPr>
          <w:rFonts w:ascii="Times New Roman"/>
          <w:b w:val="false"/>
          <w:i w:val="false"/>
          <w:color w:val="000000"/>
          <w:sz w:val="28"/>
        </w:rPr>
        <w:t>мүше мемлекеттердің атқарушы билік органдарының басшыларынан (басшылардың орынбасарларынан) және уәкілетті өкілдерінен қалыптастырылады.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Алқа Комитет құрамын</w:t>
      </w:r>
      <w:r>
        <w:rPr>
          <w:rFonts w:ascii="Times New Roman"/>
          <w:b/>
          <w:i w:val="false"/>
          <w:color w:val="000000"/>
          <w:sz w:val="28"/>
        </w:rPr>
        <w:t xml:space="preserve"> қалыптастыру үшін мүше мемлекеттерден мүше мемлекеттердің атқарушы билік органдарының уәкілетті өкілдерінің кандидатуралары бойынша ұсыныстар сұратады.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Мүше мемлекеттердің ұсыныстары бойынша Комитет құрамына бизнес-қоғамдастықтың, ғылыми және қоғамдық ұйымдардың өкілдері, өзге де тәуелсіз сарапшылар кіруі мүмкін.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Мүше мемлекеттер мүше мемлекеттердің атқарушы билік органдарының Комитеттегі уәкілетті өкілдерін ауыстырудың қажеттігі туралы Алқаға уақытылы хабарлайды, сондай-ақ оның құрамына өзгерістер енгізу жөнінде ұсыныс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 құрамы Алқаның өкімімен бекітіледі.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Комитеттің отырыстарында Алқа мүшесі төрағалық етеді және ол құзыретіне өнеркәсіптің және агроөнеркәсіптік кешеннің мәселелері жататындықтан Комитет жұмысына жалпы басшылықты (бұдан әрі - Комитет төрағасы) жүзеге асырады.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Комитет төрағасы: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) Комитет қызметіне басшылық жасайды және Комитетке жүктелген міндеттердің орындалуы жөніндегі жұмысты ұйымдастырады;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) Комитет отырысының күн тәртібін келіседі және бекітеді, оны өткізудің күнін, уақыты мен орнын айқындайды.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/>
          <w:i w:val="false"/>
          <w:color w:val="000000"/>
          <w:sz w:val="28"/>
        </w:rPr>
        <w:t>) Комитет отырысын жүргізеді;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/>
          <w:i w:val="false"/>
          <w:color w:val="000000"/>
          <w:sz w:val="28"/>
        </w:rPr>
        <w:t>) Комитет отырысының хаттамаларын бекітеді;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Комиссия Алқасы мен Кеңесін Комитет тұжырымдаған ұсынымдар жөнінде хабардар етеді;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) жұмыс (сараптама) топтары және олардың құрамы туралы ережені бекітеді;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Комиссия Алқасы мен Кеңесінің отырыстарында және өзге де органдармен және ұйымдармен өзара қатынастарда Комитет атынан өкілдік етеді;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Комитет төрағасының орынбасарын тағайындайды;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Комитет құзыретінің шегінде өзге де функцияларды жүзеге асырады.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төрағасының орынбасары болып құзыретіне Комитет қызметінің бағыттары жөніндегі мәселелер кіретін Комиссия департаментінің басшысы тағайындалады.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Комитет төрағасының орынбасары Комитет төрағасы жоқ болған жағдайда немесе оның тапсырмасы бойынша осы Ереженің 7-тармағында көзделген Комитет төрағасының функцияларын орындайды.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Комитеттің жауапты хатшысын Комитет төрағасы Комиссияның құзыреттеріне Комитет қызметінің бағыттары жөніндегі мәселелер кіретін лауазымды адамдарының немесе қызметкерлерінің арасынан тағайындайды.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Комитеттің жауапты хатшысы: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Комитет төрағасының және Комитет мүшелерінің ұсыныстары бойынша Комитет отырысының күн тәртібі жобасын дайындайды және оны Комитет төрағасына бекітуге береді;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Комитет отырысының күн тәртібі жобасына материалдардың дайындалуы мен ұсынылуына бақылауды жүзеге асырады;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Комитет отырысының бекітілген күн тәртібін және олардың материалдарын даярлап, Комитет мүшелеріне жібереді;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Комитет мүшелерімен Комитеттің кезекті отырысының өткізілетін күні, уақыты және орны туралы келіседі және хабардар етеді;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Комитет отырысының хаттамасын жүргізеді және оны Комитет төрағасына бекітуге береді.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Комитет отырыстарының жоспарын жасайды және оны Комитет мүшелерінің назарына жеткізеді;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Комитет отырыстарының нәтижелері бойынша әзірленген </w:t>
      </w:r>
      <w:r>
        <w:rPr>
          <w:rFonts w:ascii="Times New Roman"/>
          <w:b/>
          <w:i w:val="false"/>
          <w:color w:val="000000"/>
          <w:sz w:val="28"/>
        </w:rPr>
        <w:t>қорытынды құжаттардың дайындалуын және Комитет мүшелерінің назарына жеткізілуін ұйымдастырады;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</w:t>
      </w:r>
      <w:r>
        <w:rPr>
          <w:rFonts w:ascii="Times New Roman"/>
          <w:b/>
          <w:i w:val="false"/>
          <w:color w:val="000000"/>
          <w:sz w:val="28"/>
        </w:rPr>
        <w:t>) Комитеттің хаттамалық шешімдерінің орындалуын бақылауды жүзеге асырады.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12. Комитет төрағасының шақыруымен Комитет отырысына мүше мемлекеттерден қажетті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біліктілігі бар тәуелсіз сарапшылар қатысуы мүмкін.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шақыруымен Комиссияның Комитет отырысында қаралатын мәселелер құзыреттеріне жататын лауазымды адамдары мен қызметкерлері Комитет отырысына қатысуы мүмкін.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қызметінің бағыттары бойынша мәселелерді шешу үшін Комитет жанынан жұмыс (сараптама) топтары құрылуы мүмкін.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(сараптама) топтарының құрамы құзыреттеріне агроөнеркәсіп кешенінің мәселелері жататын мүше мемлекеттер атқарушы билік органдарының, салалық қоғамдық бірлестіктердің, ұйымдардың уәкілетті өкілдері арасынан қалыптастырылады.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ІV. Комитеттің жұмыс тәртібі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14. Комитет отырысы қажеттілігіне қарай өткізіледі.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15. Комитет отырысын өткізу туралы шешімді Комитет төрағасы қабылдайды.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16. Комитет отырысы күн тәртібінің жобасын қалыптастыру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ұсыныстарды Комитет мүшелері Комитет төрағасына жібереді.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отырысының күн тәртібіне енгізуге мәселелер ұсынған Комитет мүшелері Комитеттің жауапты хатшысына ұсынылған мәселелер бойынша ақпараттар мен материалдардың берілуін қамтамасыз етеді. 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Комитет төрағасы мүше мемлекеттердің атқарушы билігінің уәкілетті органдарынан және Комитет мүшелерінен Комитеттің құзыретіне жататын мәселелер бойынша материалдар мен ақпараттарды белгіленген тәртіппен сұратуға құқылы.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отырысының күн тәртібіне қатысты материалдар мыналарды қамтиды: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қаралатын мәселелер жөнінде анықтамалар;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қарауға ұсынылатын құжаттардың жобалары (бар болған кезде); 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хаттамалық шешімдердің жобалары;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Комиссияға арналған ұсынымдардың жобалары;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қажетті анықтамалық және талдамалық материалдар.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Комитеттің жауапты хатшысы Комитет мүшелеріне Комитет отырысының күн тәртібін және оның материалдарын, соның ішінде электрондық түрдегі материалдарды Комитет отырысы өткізілетін күнге</w:t>
      </w:r>
      <w:r>
        <w:rPr>
          <w:rFonts w:ascii="Times New Roman"/>
          <w:b/>
          <w:i w:val="false"/>
          <w:color w:val="000000"/>
          <w:sz w:val="28"/>
        </w:rPr>
        <w:t xml:space="preserve"> дейін 15 жұмыс күнінен кешіктірмей жібереді.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20. Комитет отырысы, әдетте, Комиссияның үй-жайларында өткізіледі.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Агроөнеркәсіп саласындағы уәкілетті органдардың ұсыныстары негізінде Комитет төрағасы қабылдайтын шешім бойынша Комитет отырысы кез келген мүше мемлекетте өткізілуі мүмкін. Бұл жағдайда қабылдаушы мүше мемлекет Комитет отырысын ұйымдастыруға және өткізуге жәрдемдеседі.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 төрағасының шешімімен Комитет отырысы бейнеконференция режимінде өткізілуі мүмкін.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21. Әрбір мүше мемлекеттен кем дегенде бір Комитет мүшесінің өкілдік етуі қамтамасыз етілсе, Комитет отырысы </w:t>
      </w:r>
      <w:r>
        <w:rPr>
          <w:rFonts w:ascii="Times New Roman"/>
          <w:b w:val="false"/>
          <w:i w:val="false"/>
          <w:color w:val="000000"/>
          <w:sz w:val="28"/>
        </w:rPr>
        <w:t>құқылы деп танылады.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мүшелері Комитет отырыстарына ауыстыру құқығынсыз жеке өздері қатысады.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мүшесінің отырысқа қатысуы мүмкін болмаған жағдайда ол қаралатын мәселе бойынша өз пікірін Комитет төрағасына жазбаша нысанда күні бұрын беруге құқылы.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Егер олардың пікірінше, аталған мәселе қосымша пысықтауды талап етсе, Комитет мүшелері мәселені Комитеттің қарауынан алып тастауды ұсына алады.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мүшелері Комитет отырысында мәселелерді талқылау кезінде тең құқыққа ие.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 шешімі отырысқа қатысушы Комитет мүшелерінің жай көпшілік даусымен қабылданады. Мүше мемлекеттердің Комитет мүшелері жиынтығында 1 дауысты иеленеді.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"Жақтап" және "қарсы" дауыс беру саны бірдей болған жағдайда мәселе пысықтауға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 отырысының нәтижелері хаттамамен ресімделеді, онда Комитет мүшелерінің ұстаным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дары </w:t>
      </w:r>
      <w:r>
        <w:rPr>
          <w:rFonts w:ascii="Times New Roman"/>
          <w:b/>
          <w:i w:val="false"/>
          <w:color w:val="000000"/>
          <w:sz w:val="28"/>
        </w:rPr>
        <w:t xml:space="preserve">тіркеледі.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Егер Комитетте қаралған мәселе бойынша Комитет мүшесінің ерекше пікірі болса, ол жазбаша нысанда мазмұндалып, Комитет отырысының хаттамасына қоса тіркеледі. Комитет отырысының хаттамасына, сондай-ақ қарастырылып отырған құжаттардың жобалары бойынша ұсыныстар, анықтамалық және талдамалық материалдар және тиісті негіздемелер қоса тіркелуі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 мүшелерінің Комитет отырыстарында берген ұсыныстары мүше мемлекеттердің түпкілікті ұстанымы ретінде қарастырылмайды.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Комитет отырысының хаттамасына Комитеттің жауапты хатшысы қол қояды, оны Комитет төрағасы Комитет отырысы өткен күннен бастап 3 жұмыс күнінен кешіктірмей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Комитет төрағасының шешімімен Комитет отырысының хаттамасы немесе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оның үзінді-көшірмесі </w:t>
      </w:r>
      <w:r>
        <w:rPr>
          <w:rFonts w:ascii="Times New Roman"/>
          <w:b/>
          <w:i w:val="false"/>
          <w:color w:val="000000"/>
          <w:sz w:val="28"/>
        </w:rPr>
        <w:t>Комитет отырысына шақыру бойынша қатысқан адамдарға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Комитет отырысының хаттамалары Комитеттің жауапты хатшысында сақталады. 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24. Мүше мемлекеттердің мемлекеттік билік органдары уәкілетті өкілдерінің Комитет отырысына қатысуына байланысты шығындарын оларды жіберген мүше мемлекеттер көтереді.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Бизнес-қоғамдастық, ғылыми және қоғамдық ұйымдар өкілдерінің, өзге де тәуелсіз сарапшылардың Комитет отырысына қатысуына байланысты шығындарын көрсетілген адамдар дербес көтереді.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25. Комитет қызметін ұйымдық-техникалық қамтамасыз етуді Комиссия жүзеге асырады.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