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84de" w14:textId="e0c8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әуе кемелеріне арналған қуаты 1100 кВт-дан аспайтын турбовинтті қозғалтқыштарға қатысты Еуразиялық экономикалық одақтың Бірыңғай кедендік тарифі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10 наурыздағыдағы № 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ЕАЭО СЭҚ ТН 8411 21 000 1 қодымен жіктелетін азаматтық әуе кемелеріне арналған қуаты 1100 кВт-дан аспайтын турбовинтті қозғалтқыштарға қатысты Еуразиялық экономикалық одақтың Бірыңғай кедендік тарифі (Еуразиялық экономикалық комиссия Кеңесінің 2012 жылғы 16 шілдедегі № 54 шешіміне қосымша) кедендік әкелу бажының мөлшерлемесі кедендік құнның 0 пайызы мөлшерінде белгіленсін.   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