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84de" w14:textId="e0c8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әуе кемелеріне арналған қуаты 1100 кВт-дан аспайтын турбовинтті қозғалтқыштарға қатысты Еуразиялық экономикалық одақтың Бірыңғай кедендік тарифі кедендік әкелу бажының мөлшерлемесін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10 наурыздағыдағы № 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ЕАЭО СЭҚ ТН 8411 21 000 1 қодымен жіктелетін азаматтық әуе кемелеріне арналған қуаты 1100 кВт-дан аспайтын турбовинтті қозғалтқыштарға қатысты Еуразиялық экономикалық одақтың Бірыңғай кедендік тарифі (Еуразиялық экономикалық комиссия Кеңесінің 2012 жылғы 16 шілдедегі № 54 шешіміне қосымша) кедендік әкелу бажының мөлшерлемесі кедендік құнның 0 пайызы мөлшерінде белгіленсін.    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