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1a57" w14:textId="23f1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2022 жылғы 11 шілдедегі № 224 "Сарыағаш ауданы бойынша коммуналдық көрсетілетін қызметтерді ұсыну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Сарыағаш ауданы әкiмдiгiнiң 2026 жылғы 20 қаңтардағы № 12 қаулысы</w:t>
      </w:r>
    </w:p>
    <w:p>
      <w:pPr>
        <w:spacing w:after="0"/>
        <w:ind w:left="0"/>
        <w:jc w:val="both"/>
      </w:pPr>
      <w:bookmarkStart w:name="z1" w:id="0"/>
      <w:r>
        <w:rPr>
          <w:rFonts w:ascii="Times New Roman"/>
          <w:b w:val="false"/>
          <w:i w:val="false"/>
          <w:color w:val="000000"/>
          <w:sz w:val="28"/>
        </w:rPr>
        <w:t>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2022 жылғы 11 шілдедегі №224 "Сарыағаш ауданы бойынша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"Сарыағаш ауданының тұрғын үй-коммуналдық шаруашылық бөлімі" мемлекеттік мекемесі заңнамада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Республикалысының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Сарыағаш ауданы әкімі аппаратының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күннен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2026 жылғы "20" қаңтардағы</w:t>
            </w:r>
            <w:r>
              <w:br/>
            </w:r>
            <w:r>
              <w:rPr>
                <w:rFonts w:ascii="Times New Roman"/>
                <w:b w:val="false"/>
                <w:i w:val="false"/>
                <w:color w:val="000000"/>
                <w:sz w:val="20"/>
              </w:rPr>
              <w:t>№12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Сарыағаш ауданы бойынша Коммуналдық көрсетілетін қызметтерді ұсыну қағидалары 1-тарау. Жалпы ережелер</w:t>
      </w:r>
    </w:p>
    <w:bookmarkEnd w:id="6"/>
    <w:p>
      <w:pPr>
        <w:spacing w:after="0"/>
        <w:ind w:left="0"/>
        <w:jc w:val="both"/>
      </w:pPr>
      <w:r>
        <w:rPr>
          <w:rFonts w:ascii="Times New Roman"/>
          <w:b w:val="false"/>
          <w:i w:val="false"/>
          <w:color w:val="000000"/>
          <w:sz w:val="28"/>
        </w:rPr>
        <w:t xml:space="preserve">
      1. Осы Сарыағаш ауданы бойынша коммуналдық көрсетілетін қызметтерді ұсыну қағидалары (бұдан әрі – қағидалар) "Тұрғын үй қатынастары туралы" 1997 жылғы 16 сәуірдегі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қызметтер тізбесін және тұрғын үй көмегін көрсетудің үлгі қағидаларын бекіту туралы" Қазақстан Республикасы Индустрия және инфрақұрылымдық даму министрінің міндетін атқарушының 2020 жылғы 29 сәуірдегі № 249 бұйрығына сәйкес әзірленді (нормативтік құқықтық актілерді мемлекеттік тіркеу тізілімінде № 20542 болып тіркелген) және коммуналдық қызметтерді ұсыну және ақы төлеу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11)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12)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13-1)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16-2)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18)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xml:space="preserve">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 </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қызметтер үшін төлемді осы қағиданың қосымшасына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4-1-тарау. БЕО-ның талаптары мен жұмыс тәртібі.</w:t>
      </w:r>
    </w:p>
    <w:p>
      <w:pPr>
        <w:spacing w:after="0"/>
        <w:ind w:left="0"/>
        <w:jc w:val="both"/>
      </w:pPr>
      <w:r>
        <w:rPr>
          <w:rFonts w:ascii="Times New Roman"/>
          <w:b w:val="false"/>
          <w:i w:val="false"/>
          <w:color w:val="000000"/>
          <w:sz w:val="28"/>
        </w:rPr>
        <w:t>
      30-1.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30-2.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30-3.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p>
      <w:pPr>
        <w:spacing w:after="0"/>
        <w:ind w:left="0"/>
        <w:jc w:val="both"/>
      </w:pPr>
      <w:r>
        <w:rPr>
          <w:rFonts w:ascii="Times New Roman"/>
          <w:b w:val="false"/>
          <w:i w:val="false"/>
          <w:color w:val="000000"/>
          <w:sz w:val="28"/>
        </w:rPr>
        <w:t>
      30-4.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30-5.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30-6.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30-7.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30-8.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30-9.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30-10.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p>
      <w:pPr>
        <w:spacing w:after="0"/>
        <w:ind w:left="0"/>
        <w:jc w:val="both"/>
      </w:pPr>
      <w:r>
        <w:rPr>
          <w:rFonts w:ascii="Times New Roman"/>
          <w:b w:val="false"/>
          <w:i w:val="false"/>
          <w:color w:val="000000"/>
          <w:sz w:val="28"/>
        </w:rPr>
        <w:t>
      30-11.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30-12. БЕО-ға қойылатын талаптар:</w:t>
      </w:r>
    </w:p>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30-13. БЕО функциялары:</w:t>
      </w:r>
    </w:p>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30-14.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бойынша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w:t>
            </w:r>
          </w:p>
          <w:p>
            <w:pPr>
              <w:spacing w:after="20"/>
              <w:ind w:left="20"/>
              <w:jc w:val="both"/>
            </w:pPr>
            <w:r>
              <w:rPr>
                <w:rFonts w:ascii="Times New Roman"/>
                <w:b w:val="false"/>
                <w:i w:val="false"/>
                <w:color w:val="000000"/>
                <w:sz w:val="20"/>
              </w:rPr>
              <w:t>
Начислено за ______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