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1632" w14:textId="57a1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белгілеген шекті шама шеңберінде "Әлеуметтік медициналық сақтандыру қоры" коммерциялық емес акционерлік қоғамының 2026 жылға арналған комиссиялық сыйақысының пайыздық мөлшерлемесінің шекті шамасын белгілеу туралы" Қазақстан Республикасы Денсаулық сақтау министрінің 2026 жылғы 17 ақпандағы № 100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19 наурыздағы № 144 бұйрығы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Үкіметі белгілеген шекті шама шеңберінде "Әлеуметтік медициналық сақтандыру қоры" коммерциялық емес акционерлік қоғамының 2026 жылға арналған комиссиялық сыйақысының пайыздық мөлшерлемесінің шекті шамасын белгілеу туралы" Қазақстан Республикасы Денсаулық сақтау министрінің 2026 жылғы 17 ақпандағы № 100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"Әлеуметтік медициналық сақтандыру қоры" коммерциялық емес акционерлік қоғамының (бұдан әрі – Қор) 2026 жылға арналған қызметін жүзеге асыруға Қазақстан Республикасының Үкіметі белгілеген шекті шама шеңберінде Қордың комиссиялық сыйақысының пайыздық мөлшерлемесінің шекті шамасы есепті айда Қордың шотына түскен активтер мөлшерінің 1,21 пайызы белгіленсін.".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 қабылданған күннен бастап бес жұмыс күн ішінде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r>
        <w:br/>
      </w:r>
      <w:r>
        <w:rPr>
          <w:rFonts w:ascii="Times New Roman"/>
          <w:b w:val="false"/>
          <w:i w:val="false"/>
          <w:color w:val="000000"/>
          <w:sz w:val="28"/>
        </w:rPr>
        <w:t xml:space="preserve">
      </w:t>
      </w:r>
      <w:r>
        <w:rPr>
          <w:rFonts w:ascii="Times New Roman"/>
          <w:b w:val="false"/>
          <w:i w:val="false"/>
          <w:color w:val="000000"/>
          <w:sz w:val="28"/>
        </w:rPr>
        <w:t>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Республикасының Денсаулық сақтау министрлігінің аппарат басшысына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қол қойылған күнінен бастап қолданысқа енгізіледі және 2026 жылғы 1 қаңтардан бастап туындаған құқықтық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