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1e2a" w14:textId="0c31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Алматы қаласы әкімдігінің 2026 жылғы 15 сәуірдегі № 2/225 қаулысы</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сондай-ақ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бұйрығымен бекітілген Өсімдік шаруашылығы өнімінің шығымдылығы мен сапасын арттыруды субсидиялау қағидаларының 5, 64 тармақтарына сәйкес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(литрiне, килограмына) арналған субсидиялар нормалары бекітілсін.</w:t>
      </w:r>
    </w:p>
    <w:bookmarkEnd w:id="1"/>
    <w:bookmarkStart w:name="z9" w:id="2"/>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w:t>
      </w:r>
    </w:p>
    <w:bookmarkEnd w:id="2"/>
    <w:bookmarkStart w:name="z10" w:id="3"/>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
    <w:bookmarkStart w:name="z11" w:id="4"/>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Әзірлеуші: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Кәсіпкерлік және инвестициялар басқармасының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Мәндібаев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Келісушілер: Алматы қаласы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Смағұлов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әкімі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Исабеков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қаласы әкімі аппараты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заң 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Г.Мырзабекова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"___"__________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2" w:id="7"/>
    <w:p>
      <w:pPr>
        <w:spacing w:after="0"/>
        <w:ind w:left="0"/>
        <w:jc w:val="left"/>
      </w:pPr>
      <w:r>
        <w:rPr>
          <w:rFonts w:ascii="Times New Roman"/>
          <w:b/>
          <w:i w:val="false"/>
          <w:color w:val="000000"/>
        </w:rPr>
        <w:t xml:space="preserve"> 2026 жылға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әсер ету заттарының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теңге/тонна, литр,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Yara Liva ТМ Calcinit тыңайтқышы</w:t>
            </w:r>
          </w:p>
          <w:bookmarkEnd w:id="8"/>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Yara Liva ТМ Calcinit</w:t>
            </w:r>
          </w:p>
          <w:bookmarkEnd w:id="9"/>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 Ca-79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N-17; CaO-32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ДТТПА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ДТПА Zn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ДТПА Mn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7-сулы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7-сулы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MgO-16,7, S-13,3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7-сулы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 S-13,3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MgO-29,1-29,8; S-23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 - 45,5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7-сулы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MgO - 29,1-29,8;</w:t>
            </w:r>
          </w:p>
          <w:bookmarkEnd w:id="10"/>
          <w:p>
            <w:pPr>
              <w:spacing w:after="20"/>
              <w:ind w:left="20"/>
              <w:jc w:val="both"/>
            </w:pPr>
            <w:r>
              <w:rPr>
                <w:rFonts w:ascii="Times New Roman"/>
                <w:b w:val="false"/>
                <w:i w:val="false"/>
                <w:color w:val="000000"/>
                <w:sz w:val="20"/>
              </w:rPr>
              <w:t>
S-23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