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6d83" w14:textId="8466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19 ақпандағы № 26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 Стратегиялық жоспарлау және реформалар агенттігінің Ұлттық статистика бюросы басшысының 2022 жылғы 19 тамыздағы № 102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bookmarkStart w:name="z9"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Start w:name="z12" w:id="4"/>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4"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5" w:id="7"/>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аумақтық бөлімшелері осы бұйрықтан туындайтын қажетті шараларды белгіленген мерзімдерде қабылдасын.</w:t>
      </w:r>
    </w:p>
    <w:bookmarkEnd w:id="7"/>
    <w:bookmarkStart w:name="z16"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7" w:id="9"/>
    <w:p>
      <w:pPr>
        <w:spacing w:after="0"/>
        <w:ind w:left="0"/>
        <w:jc w:val="both"/>
      </w:pPr>
      <w:r>
        <w:rPr>
          <w:rFonts w:ascii="Times New Roman"/>
          <w:b w:val="false"/>
          <w:i w:val="false"/>
          <w:color w:val="000000"/>
          <w:sz w:val="28"/>
        </w:rPr>
        <w:t xml:space="preserve">
      5. Осы бұйрық қол қойылған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0"/>
              <w:ind w:left="0"/>
              <w:jc w:val="left"/>
            </w:pP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