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f77e3" w14:textId="20f77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Табиғи монополияларды реттеу комитеті туралы ережені бекіту және Қазақстан Республикасы Ұлттық экономика министрінің кейбір бұйрықтарының күші жойылды деп тану туралы" Қазақстан Республикасы Ұлттық экономика министрінің 2019 жылғы 29 шілдедегі № 190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25 тамыздағы № 186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Ұлттық экономика министрлігінің Табиғи монополияларды реттеу комитеті туралы ережені бекіту және Қазақстан Республикасы Ұлттық экономика министрінің кейбір бұйрықтарының күші жойылды деп тану туралы" Қазақстан Республикасы Ұлттық экономика министрінің 2019 жылғы 29 шілдедегі № 190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Ұлттық экономика министрлігінің Табиғи монополияларды реттеу комитеті туралы </w:t>
      </w:r>
      <w:r>
        <w:rPr>
          <w:rFonts w:ascii="Times New Roman"/>
          <w:b w:val="false"/>
          <w:i w:val="false"/>
          <w:color w:val="000000"/>
          <w:sz w:val="28"/>
        </w:rPr>
        <w:t>ережеде:</w:t>
      </w:r>
    </w:p>
    <w:bookmarkEnd w:id="2"/>
    <w:bookmarkStart w:name="z7" w:id="3"/>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54)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"Қазақстан Республикасының заңдарында белгіленген коммерциялық және заңмен қорғалатын өзге де құпияны құрайтын мәліметтерді жария етуге қойылатын талаптарды сақтай отырып, қоғамдық маңызы бар нарық субъектілерінен және табиғи монополия субъектілерінен, жеке және заңды тұлғалардан, оның ішінде мемлекеттік органдардан, жергілікті өзін-өзі басқару органдарынан, сондай-ақ олардың лауазымды адамдарынан өз өкілеттіктерін, оның ішінде өтініштерді қарау және мемлекеттік бақылау жүргізу жөніндегі өкілеттіктерін жүзеге асыру үшін қажетті ақпаратты сұрату және алу;";</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алып тасталсын;</w:t>
      </w:r>
    </w:p>
    <w:bookmarkStart w:name="z10" w:id="5"/>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5"/>
    <w:bookmarkStart w:name="z11" w:id="6"/>
    <w:p>
      <w:pPr>
        <w:spacing w:after="0"/>
        <w:ind w:left="0"/>
        <w:jc w:val="both"/>
      </w:pPr>
      <w:r>
        <w:rPr>
          <w:rFonts w:ascii="Times New Roman"/>
          <w:b w:val="false"/>
          <w:i w:val="false"/>
          <w:color w:val="000000"/>
          <w:sz w:val="28"/>
        </w:rPr>
        <w:t>
      "2) Комитет төрағасының орынбасарларын, аумақтық департаменттердің басшыларын және Комитеттің мемлекеттік қызметшілерін лауазымға тағайындайды және лауазымнан босатады;".</w:t>
      </w:r>
    </w:p>
    <w:bookmarkEnd w:id="6"/>
    <w:bookmarkStart w:name="z12" w:id="7"/>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комитеті заңнамада белгіленген тәртіппен осы бұйрықты қол қойылған күнінен бастап бес жұмыс күні ішінде Қазақстан Республикасы нормативтік құқықтық актілерінің эталондық бақылау банкінде және алғашқы ресми жарияланған күнінен кейін Қазақстан Республикасы Ұлттық экономика министрлігінің интернет-ресурсында орналастыру үшін жолдауды қамтамсыз етсін.</w:t>
      </w:r>
    </w:p>
    <w:bookmarkEnd w:id="7"/>
    <w:bookmarkStart w:name="z13"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8"/>
    <w:bookmarkStart w:name="z14"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Жұманғарин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