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ad8" w14:textId="b661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аудандық маңызы бар қаланың, ауылдардың, ауылдық округтің бюджеттері туралы" Түпқараған аудандық мәслихатының 2025 жылғы 26 желтоқсандағы № 37/178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2026 жылғы 21 мамырдағы № 42/202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– 2028 жылдарға арналған аудандық маңызы бар қаланың, ауылдардың, ауылдық округтің бюджеттері туралы" Түпқараған аудандық мәслихатының 2025 жылғы 26 желтоқсандағы № 37/178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маңызы бар қаланың, ауылдардың, ауылдық округтің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3 349 627,0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2 790 581,3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3 400 481,2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-50 854,2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- 50 854,2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50 854,2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2026 жылғы 21 мамырдағы № 42/202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Ақшұқыр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2026 жылғы 21 мамырдағы № 42/202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Баутин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2026 жылғы 21 мамырдағы № 42/202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Қызылөзен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2026 жылғы 21 мамырдағы № 42/202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Сайын Шапағатов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72 483,2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2026 жылғы 21 мамырдағы № 42/202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жетоқсандағы № 37/178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Таушық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2026 жылғы 21 мамырдағы № 42/202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26 желтоқсандағы № 37/178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Форт-Шевченко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