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5d1b" w14:textId="ab95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2025 жылғы 26 желтоқсандағы № 35/287 "2026-2028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2026 жылғы 8 мамырдағы № 39/317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ауылдардың, ауылдық округтердің бюджеттері туралы" Қарақия аудандық мәслихатының 2025 жылғы 26 желтоқсандағы № 35/287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20256-2028 жылдарға арналған ауылдардың, ауылдық округтердің бюджеттері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2 187 745,6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1 658 316,6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2 194 816,9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аудандық бюджеттен ауылдар мен ауылдық округтердің бюджеттеріне 1 658 316,6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68 199,7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153 751,9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333 177,4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126 984,2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481 553,7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248 562,8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246 086,9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Жетібай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Мұнайшы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Сенек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