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5183" w14:textId="2ae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2025 жылғы 26 желтоқсандағы № 35/287 "2026 - 2028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2026 жылғы 10 наурыздағы № 37/306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ауылдардың, ауылдық округтердің бюджеттері туралы" Қарақия аудандық мәслихатының 2025 жылғы 26 желтоқсандағы № 35/287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ауылдардың, ауылдық округтердің бюджеттері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2 219 316,6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523 712,0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1 695 133,6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2 226 387,9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жылға арналған аудандық бюджеттен ауылдар мен ауылдық округтердің бюджеттеріне 1 695 133,6 мың теңге сомасында субвенция бөлінгені ескерілсін,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66 369,7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162 956,9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348 088,4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127 730,2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497 691,7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286 209,8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206 086,9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Жетібай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5-қосымша 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Мұнайшы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"10" наурыздағы № 37/306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Сенек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