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fcb2" w14:textId="228f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Рахат ауылының атауы жоқ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Рахат ауылы әкімінің 2026 жылғы 14 сәуірдегі № 149 шешімі.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әкiмшiлiк-аумақтық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 тамыздағы № 211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Рахат ауылы халқының пікірін ескере отырып, Маңғыстау облыстық ономастика комиссиясының 2026 жылғы 31 наурыздағы қорытындысына негізінде, Рахат ауылының әкімі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Рахат ауылы, Мерей шағынауданының солтүстік шығысында орналасқан атаусыз көшелеріне (бұған дейін нөмірленіп келген) келесі атаулар берілсін: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1)№ 68 - көшеге - "Марат Бұхарбаев"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2)№ 69 - көшеге - "Қалдыбай Батырханов" көшесі.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Рахат ауылы әкімінің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Табанбаев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Сағынбаев Д.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Дайындаған: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Турткулова К. 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