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a30a" w14:textId="10fa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2025 жылғы 18 желтоқсандағы № 200 "2026-2028 жылдарға арналған ауылдардың, кенттердің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2026 жылғы 4 наурыздағы № 222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2025 жылғы 18 желтоқсандағы № 200 "2026-2028 жылдарға арналған ауылдар, кенттер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219307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265 819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136 810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4 143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124 866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265 819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 – 2028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38 058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10 458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26 684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41 654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-3 596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3 596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3 596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 – 2028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55 470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12 635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42 835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65 407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-9 937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9 937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9 937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2026 – 2028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32 797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–19 969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12 428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38 306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-5 509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5 509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5 509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 – 2028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–39 910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10 117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29 793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42 410 мың теңге;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-2 500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2 500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2026 – 2028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27 996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23 174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33 580 мың теңге;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-5 584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5 584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5 584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2026 – 2028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58 490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7 158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51 332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58 490 мың теңге;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2026 – 2028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38 183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10 094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28 089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38 813 мың теңге;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-630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630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630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2026 – 2028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37 962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10 751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1 175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26 036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43 716 мың теңге;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-5 754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5 754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5 754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2026 – 2028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99 638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10 475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89 163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105 680 мың теңге;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-6 042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6 042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6 042 теңге.".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2026 – 2028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47 684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14 922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32 762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53 746 мың теңге;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2026 – 2028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36 873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4 311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32 562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36 873 мың теңге;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2026 – 2028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37 414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–2 425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34 989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37 414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67.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13.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 кентінің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 ауылының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Шахтер ауылының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Ахмет ауылының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7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Көбетей ауылының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7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Балыктыкөл ауылының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7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Байтуған ауылының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27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Кертінді ауылының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28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Заречное ауылының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28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 ауылының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28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Баршино ауылының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29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Жанбөбек ауылының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29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Куланутпес ауылының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