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713b" w14:textId="0ae7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26 ақпандағы № 23/01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"SGP Group" жауапкершілігі шектеулі серіктестігіне пайдалы қазбаларды барлау үшін, жалпы көлемі 620,1890 гектар жер учаскесін меншік иелері мен жер пайдаланушылардан алып қоймай 2030 жылдың 1 сәуіріне дейін жария сервитут белгіленсін.</w:t>
      </w:r>
    </w:p>
    <w:bookmarkEnd w:id="1"/>
    <w:bookmarkStart w:name="z6" w:id="2"/>
    <w:p>
      <w:pPr>
        <w:spacing w:after="0"/>
        <w:ind w:left="0"/>
        <w:jc w:val="both"/>
      </w:pPr>
      <w:r>
        <w:rPr>
          <w:rFonts w:ascii="Times New Roman"/>
          <w:b w:val="false"/>
          <w:i w:val="false"/>
          <w:color w:val="000000"/>
          <w:sz w:val="28"/>
        </w:rPr>
        <w:t>
      2. "SGP Group"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"SGP Group"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келісім шарт жасасу қажеттілігі туралы ескертілсін.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26 ақпандағы</w:t>
            </w:r>
            <w:r>
              <w:br/>
            </w:r>
            <w:r>
              <w:rPr>
                <w:rFonts w:ascii="Times New Roman"/>
                <w:b w:val="false"/>
                <w:i w:val="false"/>
                <w:color w:val="000000"/>
                <w:sz w:val="20"/>
              </w:rPr>
              <w:t>№ 23/01 қаулысына қосымша</w:t>
            </w:r>
          </w:p>
        </w:tc>
      </w:tr>
    </w:tbl>
    <w:bookmarkStart w:name="z13" w:id="7"/>
    <w:p>
      <w:pPr>
        <w:spacing w:after="0"/>
        <w:ind w:left="0"/>
        <w:jc w:val="left"/>
      </w:pPr>
      <w:r>
        <w:rPr>
          <w:rFonts w:ascii="Times New Roman"/>
          <w:b/>
          <w:i w:val="false"/>
          <w:color w:val="000000"/>
        </w:rPr>
        <w:t xml:space="preserve"> "SGP Group"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