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a19a" w14:textId="790a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2025 жылғы 23 желтоқсандағы "Ақтоғай ауданының ауыл, кенттер, ауылдық округтерінің 2026-2028 жылдарға арналған бюджеттері туралы" № 362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2026 жылғы 21 мамырдағы № 404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2025 жылғы 23 желтоқсандағы "Ақтоғай ауданының ауыл, кенттер, ауылдық округтерінің 2026-2028 жылдарға арналған бюджеттері туралы" №362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488800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441906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489319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-519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519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200134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5280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140735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212661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-12527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12527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12527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– 2028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250568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30034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213792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260500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-9932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9932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9932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– 2028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48106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31055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48134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 – 2028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71530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53469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18033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73467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-1937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1937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1937 мың теңге.";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 – 2028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47981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16819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30934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49342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-1361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1361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1361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 – 2028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52765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12249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40516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52783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мың теңге: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 – 2028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55958 мың теңге, оның ішінде: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11146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44812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56166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-208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208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 – 2028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50592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46854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52251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-1659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1659 мың теңге: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1659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 – 2028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58709 мың теңге, оның ішінде: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17439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41270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59245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-536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536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 – 2028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49420 мың теңге, оның ішінде: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12868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2662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33890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49421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 – 2028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67868 мың теңге, оның ішінде: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31408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35829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67868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0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1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1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2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