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6d90" w14:textId="9ca6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2025 жылғы 23 желтоқсандағы "Ақтоғай ауданының ауыл, кенттер, ауылдық округтерінің 2026-2028 жылдарға арналған бюджеттері туралы" № 362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2026 жылғы 6 наурыздағы № 384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2025 жылғы 23 желтоқсандағы "Ақтоғай ауданының ауыл, кенттер, ауылдық округтерінің 2026-2028 жылдарға арналған бюджеттері туралы" №362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312822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265928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312827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 – 2028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135291 мың теңге,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54119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5280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75892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147818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-12527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12527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12527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 – 2028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199821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29434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5707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163645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209753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-9932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9932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9932 мың теңге.";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2026 – 2028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75630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2191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73439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75632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мың теңге: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2026 – 2028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47443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16388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31055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47572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-129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129 мың теңге: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2026 – 2028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55262 мың теңге, оның ішінде: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37201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трансферттердің түсімдері – 18033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57199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-1937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1937 мың теңге: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1937 мың теңге.";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2026 – 2028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47981 мың теңге, оның ішінде: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16819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228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30934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48780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-799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799 мың теңге: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799 мың теңге.";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2026 – 2028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52623 мың теңге, оның ішінде: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12824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39765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52624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2026 – 2028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48945 мың теңге, оның ішінде: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8429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40516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48963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-18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 мың теңге: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мың теңге.";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2026 – 2028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54396 мың теңге, оның ішінде: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11146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43250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54604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-208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208 мың теңге: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208 мың теңге.";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2026 – 2028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50592 мың теңге, оның ішінде: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3701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мың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46854 мың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51689 мың теңге;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-1097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1097 мың теңге: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1097 мың теңге.";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2026 – 2028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54683 мың теңге, оның ішінде: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17439 мың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37244 мың теңге;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54686 мың теңге;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 мың теңге;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мың теңге: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2026 – 2028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46758 мың теңге, оның ішінде: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12868 мың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33890 мың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46759 мың теңге;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мың теңге;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теңге: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2026 – 2028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53433 мың теңге, оның ішінде: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31273 мың теңге;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373 мың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258 мың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21529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53568 мың теңге;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-135 мың теңге;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135 мың теңге: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 мың теңге.";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2026 – 2028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91188 мың теңге, оның ішінде: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9604 мың теңге;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418 мың теңге;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81166 мың теңге;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91190 мың теңге;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мың теңге;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мың теңге: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2026 – 2028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87216 мың теңге, оның ішінде: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17572 мың теңге;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69644 мың теңге;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87222 мың теңге;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мың теңге;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мың теңге: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мың теңге.";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енеді.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2026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2026 жылға арналған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2026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2026 жылға арналған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2026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6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2026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6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2026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6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2026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7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2026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7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2026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7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2026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8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2026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8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2026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8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2026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28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2026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29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2026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29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ауыл, кенттер, ауылдық округтер бюджеттеріне аудандық бюджеттен нысаналы трансферттер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