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9309" w14:textId="d2d9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Өңдеуші кәсіпорындардың ауылшаруашылық өнімін тереңдете өңдеп өнім өндіруі үшін оны сатып алу шығындарын субсидиялау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20 наурыздағы № 19/03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"Өңдеуші кәсіпорындардың ауылшаруашылық өнімін тереңдете өңдеп өнім өндіруі үшін оны сатып алу шығындарын субсидиялау қағидаларын бекіту туралы" 2014 жылғы 26 қарашадағы № 3-2/615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өңдеуші кәсіпорындардың ауылшаруашылық өнімін тереңдете өңдеп өнім өндіруі үшін оны сатып алу шығындарын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"Тереңдете өңдеп өнім өндіру үшін сатып алынатын ауылшаруашылық өнімі бірлігіне арналған субсидиялар нормативін бекіту туралы" 2025 жылғы 6 тамыздағы № 43/18 Қарағанды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№19/03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Өңдеуші кәсіпорындардың ауылшаруашылық өнімін тереңдете өңдеп өнім өндіруі үшін оны сатып алу шығындарын субсидиялау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 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