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e41f" w14:textId="b8ae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2026 – 2027 оқу жылына арналған мемлекеттік білім беру тапсырысын орналастыру және бөлу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29 шiлдедегi № 366-НҚ бұйрығы.</w:t>
      </w:r>
    </w:p>
    <w:p>
      <w:pPr>
        <w:spacing w:after="0"/>
        <w:ind w:left="0"/>
        <w:jc w:val="both"/>
      </w:pPr>
      <w:bookmarkStart w:name="z4" w:id="0"/>
      <w:r>
        <w:rPr>
          <w:rFonts w:ascii="Times New Roman"/>
          <w:b w:val="false"/>
          <w:i w:val="false"/>
          <w:color w:val="000000"/>
          <w:sz w:val="28"/>
        </w:rPr>
        <w:t xml:space="preserve">
      "Мәдениет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23-7) тармақшасына сәйкес, "Еңбек нарығының қажеттіліктерін ескере отырып,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бөлімшелеріне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Ғылым және жоғары білім министрінің 2023 жылғы 26 шiлдедегi № 357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33174 болып тіркелген), "Техникалық және кәсіптік, орта білімнен кейінгі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Оқу-ағарту министрінің 2023 жылғы 15 тамыздағы № 261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33298 болып тіркелген),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бұйрығының</w:t>
      </w:r>
      <w:r>
        <w:rPr>
          <w:rFonts w:ascii="Times New Roman"/>
          <w:b w:val="false"/>
          <w:i w:val="false"/>
          <w:color w:val="000000"/>
          <w:sz w:val="28"/>
        </w:rPr>
        <w:t xml:space="preserve"> және "Еңбек нарығының қажеттіліктерін ескере отырып,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техникалық және кәсіптік, орта білімнен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Оқу-ағарту министрінің міндетін атқарушының 2024 жылғы 5 шілдедегі № 171 </w:t>
      </w:r>
      <w:r>
        <w:rPr>
          <w:rFonts w:ascii="Times New Roman"/>
          <w:b w:val="false"/>
          <w:i w:val="false"/>
          <w:color w:val="000000"/>
          <w:sz w:val="28"/>
        </w:rPr>
        <w:t>бұйрығының</w:t>
      </w:r>
      <w:r>
        <w:rPr>
          <w:rFonts w:ascii="Times New Roman"/>
          <w:b w:val="false"/>
          <w:i w:val="false"/>
          <w:color w:val="000000"/>
          <w:sz w:val="28"/>
        </w:rPr>
        <w:t xml:space="preserve"> негізінде, БҰЙЫРАМЫН:</w:t>
      </w:r>
    </w:p>
    <w:bookmarkEnd w:id="0"/>
    <w:bookmarkStart w:name="z5" w:id="1"/>
    <w:p>
      <w:pPr>
        <w:spacing w:after="0"/>
        <w:ind w:left="0"/>
        <w:jc w:val="both"/>
      </w:pPr>
      <w:r>
        <w:rPr>
          <w:rFonts w:ascii="Times New Roman"/>
          <w:b w:val="false"/>
          <w:i w:val="false"/>
          <w:color w:val="000000"/>
          <w:sz w:val="28"/>
        </w:rPr>
        <w:t>
      1. Осы бұйрыққа: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бағдарламаларының топтары бойынша 2026-2027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бағдарламаларының топтары бойынша 2026-2027 оқу жылына жоғары оқу орнынан кейінгі білімі (магистратура)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білім беру бағдарламаларының топтары бойынша 2026-2027 оқу жылына жоғары оқу орнынан кейінгі білімі (докторантура)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2026-2027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бекітілсін.</w:t>
      </w:r>
    </w:p>
    <w:bookmarkEnd w:id="5"/>
    <w:bookmarkStart w:name="z10" w:id="6"/>
    <w:p>
      <w:pPr>
        <w:spacing w:after="0"/>
        <w:ind w:left="0"/>
        <w:jc w:val="both"/>
      </w:pPr>
      <w:r>
        <w:rPr>
          <w:rFonts w:ascii="Times New Roman"/>
          <w:b w:val="false"/>
          <w:i w:val="false"/>
          <w:color w:val="000000"/>
          <w:sz w:val="28"/>
        </w:rPr>
        <w:t>
      2. Осы бұйрыққа:</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мәдениет салаласындағы білім беру ұйымдарында 2026-2027 оқу жылына арналған жоғары білімі бар кадрларды даярлаудың мемлекеттік білім беру тапсырысы;</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мәдениет саласындағы білім беру ұйымдарында 2026-2027 оқу жылына арналған жоғары оқу орнынан кейінгі білімі (магистратура) бар кадрларды даярлаудың мемлекеттік білім беру тапсырысы;</w:t>
      </w:r>
    </w:p>
    <w:bookmarkEnd w:id="8"/>
    <w:bookmarkStart w:name="z13"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мәдениет саласындағы білім беру ұйымдарында 2026-2027 оқу жылына арналған жоғары оқу орнынан кейінгі білімі (докторантура) бар кадрларды даярлаудың мемлекеттік білім беру тапсырысы;</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мәдениет саласындағы білім беру ұйымдарында 2026-2027 оқу жылына арналған техникалық және кәсіптік, орта білімнен кейінгі білімі бар кадрларды даярлаудың мемлекеттік білім беру тапсырысы бөлінсін.</w:t>
      </w:r>
    </w:p>
    <w:bookmarkEnd w:id="10"/>
    <w:bookmarkStart w:name="z15" w:id="11"/>
    <w:p>
      <w:pPr>
        <w:spacing w:after="0"/>
        <w:ind w:left="0"/>
        <w:jc w:val="both"/>
      </w:pPr>
      <w:r>
        <w:rPr>
          <w:rFonts w:ascii="Times New Roman"/>
          <w:b w:val="false"/>
          <w:i w:val="false"/>
          <w:color w:val="000000"/>
          <w:sz w:val="28"/>
        </w:rPr>
        <w:t>
      3. Қазақстан Республикасы Мәдениет және ақпарат министрлігінің Білім және ғылым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Қазақстан Республикасы нормативтік құқықтық актілерінің эталондық бақылау банкіне енгізу және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13"/>
    <w:bookmarkStart w:name="z18"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14"/>
    <w:bookmarkStart w:name="z19" w:id="1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1-қосымша</w:t>
            </w:r>
          </w:p>
        </w:tc>
      </w:tr>
    </w:tbl>
    <w:bookmarkStart w:name="z22" w:id="16"/>
    <w:p>
      <w:pPr>
        <w:spacing w:after="0"/>
        <w:ind w:left="0"/>
        <w:jc w:val="left"/>
      </w:pPr>
      <w:r>
        <w:rPr>
          <w:rFonts w:ascii="Times New Roman"/>
          <w:b/>
          <w:i w:val="false"/>
          <w:color w:val="000000"/>
        </w:rPr>
        <w:t xml:space="preserve"> Білім беру бағдарламаларының топтары бойынша 2026-2027 оқу жылына жоғары білімі бар кадрларды даярлауға мемлекеттік білім беру тапсырысын орналастыру үшін жоғары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6"/>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м.а. 25.08.2026 </w:t>
      </w:r>
      <w:r>
        <w:rPr>
          <w:rFonts w:ascii="Times New Roman"/>
          <w:b w:val="false"/>
          <w:i w:val="false"/>
          <w:color w:val="ff0000"/>
          <w:sz w:val="28"/>
        </w:rPr>
        <w:t>№ 407-НҚ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p>
      <w:pPr>
        <w:spacing w:after="0"/>
        <w:ind w:left="0"/>
        <w:jc w:val="left"/>
      </w:pPr>
      <w:r>
        <w:rPr>
          <w:rFonts w:ascii="Times New Roman"/>
          <w:b/>
          <w:i w:val="false"/>
          <w:color w:val="000000"/>
        </w:rPr>
        <w:t xml:space="preserve"> Мәдениет салаласындағы білім беру ұйымдарында 2026-2027 оқу жылына арналған жоғары білімі бар кадрларды даярлаудың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Гранттардың жалпы саны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"Темірбек Жүргенов атындағы Қазақ ұлттық өнер академиясы"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Фэшн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"Күләш Байсейітова атындағы Қазақ ұлттық өнер университеті"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В029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өнерлердің және цирк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Анимация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және фото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(В006 "Музыка мұғалімдерін даярлау"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"Күләш Байсейітова атындағы Қазақ ұлттық өнер университеті" республикалық мемлекеттік мекемесінің Петропавл қ. өкілдігі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В030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және теледидар режиссурасы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айқындаған өңірлерге қоныс аударған ауыл жастары арасынан шыққан Қазақстан Республикасының азаматтары үшін – 3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 бойынша мерзімді әскери қызметтің белгіленген мерзімін өткерген Қазақстан Республикасының азаматтары үшін – 2,5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"Құрманғазы атындағы Қазақ ұлттық консерваториясы" республикалық мемлекеттік мекемесі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 үшін – 35 пайыз (В101 "Дәстүрлі музыкалық өнері" білім беру бағдарламалары тобы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5. "Қазақ ұлттық хореография академиясы" шаруашылық жүргізу құқығындағы республикалық мемлекеттік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3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үшін – 2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2,5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2-қосымша</w:t>
            </w:r>
          </w:p>
        </w:tc>
      </w:tr>
    </w:tbl>
    <w:bookmarkStart w:name="z25" w:id="17"/>
    <w:p>
      <w:pPr>
        <w:spacing w:after="0"/>
        <w:ind w:left="0"/>
        <w:jc w:val="left"/>
      </w:pPr>
      <w:r>
        <w:rPr>
          <w:rFonts w:ascii="Times New Roman"/>
          <w:b/>
          <w:i w:val="false"/>
          <w:color w:val="000000"/>
        </w:rPr>
        <w:t xml:space="preserve"> Білім беру бағдарламаларының топтары бойынша 2026-2027 оқу жылына жоғары оқу орнынан кейінгі білімі (магистратура)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7"/>
    <w:bookmarkStart w:name="z26" w:id="18"/>
    <w:p>
      <w:pPr>
        <w:spacing w:after="0"/>
        <w:ind w:left="0"/>
        <w:jc w:val="left"/>
      </w:pPr>
      <w:r>
        <w:rPr>
          <w:rFonts w:ascii="Times New Roman"/>
          <w:b/>
          <w:i w:val="false"/>
          <w:color w:val="000000"/>
        </w:rPr>
        <w:t xml:space="preserve"> Мәдениет саласындағы білім беру ұйымдарында 2026-2027 оқу жылына арналған жоғары оқу орнынан кейінгі білімі (магистратура) бар кадрларды даярлаудың мемлекеттік білім беру тапсырысы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Магистратура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музыкалық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"Күләш Байсейітова атындағы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педагогтарын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Вокалдық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музыкалық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өнері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 орындаушылық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Дәстүрлі музыкалық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3-қосымша</w:t>
            </w:r>
          </w:p>
        </w:tc>
      </w:tr>
    </w:tbl>
    <w:bookmarkStart w:name="z28" w:id="19"/>
    <w:p>
      <w:pPr>
        <w:spacing w:after="0"/>
        <w:ind w:left="0"/>
        <w:jc w:val="left"/>
      </w:pPr>
      <w:r>
        <w:rPr>
          <w:rFonts w:ascii="Times New Roman"/>
          <w:b/>
          <w:i w:val="false"/>
          <w:color w:val="000000"/>
        </w:rPr>
        <w:t xml:space="preserve"> Білім беру бағдарламаларының топтары бойынша 2026-2027 оқу жылына жоғары оқу орнынан кейінгі білімі (докторантура)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19"/>
    <w:bookmarkStart w:name="z29" w:id="20"/>
    <w:p>
      <w:pPr>
        <w:spacing w:after="0"/>
        <w:ind w:left="0"/>
        <w:jc w:val="left"/>
      </w:pPr>
      <w:r>
        <w:rPr>
          <w:rFonts w:ascii="Times New Roman"/>
          <w:b/>
          <w:i w:val="false"/>
          <w:color w:val="000000"/>
        </w:rPr>
        <w:t xml:space="preserve"> Мәдениет саласындағы білім беру ұйымдарында 2026-2027 оқу жылына арналған жоғары оқу орнынан кейінгі білімі (докторантура) бар кадрларды даярлаудың мемлекеттік білім беру тапсырысы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"Күләш Байсейітова атындағы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педагогтарын даярлау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Дирижирлеу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Мәдениет және</w:t>
            </w:r>
            <w:r>
              <w:br/>
            </w:r>
            <w:r>
              <w:rPr>
                <w:rFonts w:ascii="Times New Roman"/>
                <w:b w:val="false"/>
                <w:i w:val="false"/>
                <w:color w:val="000000"/>
                <w:sz w:val="20"/>
              </w:rPr>
              <w:t>ақпарат министрінің</w:t>
            </w:r>
            <w:r>
              <w:br/>
            </w:r>
            <w:r>
              <w:rPr>
                <w:rFonts w:ascii="Times New Roman"/>
                <w:b w:val="false"/>
                <w:i w:val="false"/>
                <w:color w:val="000000"/>
                <w:sz w:val="20"/>
              </w:rPr>
              <w:t>2026 жылғы 29 шілдедегі</w:t>
            </w:r>
            <w:r>
              <w:br/>
            </w:r>
            <w:r>
              <w:rPr>
                <w:rFonts w:ascii="Times New Roman"/>
                <w:b w:val="false"/>
                <w:i w:val="false"/>
                <w:color w:val="000000"/>
                <w:sz w:val="20"/>
              </w:rPr>
              <w:t>№ 366-НҚ бұйрығына</w:t>
            </w:r>
            <w:r>
              <w:br/>
            </w:r>
            <w:r>
              <w:rPr>
                <w:rFonts w:ascii="Times New Roman"/>
                <w:b w:val="false"/>
                <w:i w:val="false"/>
                <w:color w:val="000000"/>
                <w:sz w:val="20"/>
              </w:rPr>
              <w:t>4-қосымша</w:t>
            </w:r>
          </w:p>
        </w:tc>
      </w:tr>
    </w:tbl>
    <w:bookmarkStart w:name="z31" w:id="21"/>
    <w:p>
      <w:pPr>
        <w:spacing w:after="0"/>
        <w:ind w:left="0"/>
        <w:jc w:val="left"/>
      </w:pPr>
      <w:r>
        <w:rPr>
          <w:rFonts w:ascii="Times New Roman"/>
          <w:b/>
          <w:i w:val="false"/>
          <w:color w:val="000000"/>
        </w:rPr>
        <w:t xml:space="preserve"> 2026-2027 оқу жылына техникалық және кәсіптік, орта білімнен кейінгі білімі бар кадрларды даярлауға арналған мемлекеттік білім беру тапсырысы мамандықтар бойынша орналастыру үшін техникалық және кәсіптік білім беру ұйымдарының тізбесі Мәдениет саласындағы білім беру ұйымдарында 2026-2027 оқу жылына арналған техникалық және кәсіптік, орта білімнен кейінгі білімі бар кадрларды даярлаудың мемлекеттік білім беру тапсырысы</w:t>
      </w:r>
    </w:p>
    <w:bookmarkEnd w:id="21"/>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Мәдениет және ақпарат министрінің 17.08.2026 </w:t>
      </w:r>
      <w:r>
        <w:rPr>
          <w:rFonts w:ascii="Times New Roman"/>
          <w:b w:val="false"/>
          <w:i w:val="false"/>
          <w:color w:val="ff0000"/>
          <w:sz w:val="28"/>
        </w:rPr>
        <w:t>№ 392-НҚ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 және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"Қазақ ұлттық өнер университеті"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p>
            <w:pPr>
              <w:spacing w:after="20"/>
              <w:ind w:left="20"/>
              <w:jc w:val="both"/>
            </w:pPr>
            <w:r>
              <w:rPr>
                <w:rFonts w:ascii="Times New Roman"/>
                <w:b w:val="false"/>
                <w:i w:val="false"/>
                <w:color w:val="000000"/>
                <w:sz w:val="20"/>
              </w:rPr>
              <w:t>
"Музыкалық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w:t>
            </w:r>
          </w:p>
          <w:p>
            <w:pPr>
              <w:spacing w:after="20"/>
              <w:ind w:left="20"/>
              <w:jc w:val="both"/>
            </w:pPr>
            <w:r>
              <w:rPr>
                <w:rFonts w:ascii="Times New Roman"/>
                <w:b w:val="false"/>
                <w:i w:val="false"/>
                <w:color w:val="000000"/>
                <w:sz w:val="20"/>
              </w:rPr>
              <w:t>
"Мектепке дейінгі, бастауыш және негізгі орта білім берудің музыка мұғалімі"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w:t>
            </w:r>
          </w:p>
          <w:p>
            <w:pPr>
              <w:spacing w:after="20"/>
              <w:ind w:left="20"/>
              <w:jc w:val="both"/>
            </w:pPr>
            <w:r>
              <w:rPr>
                <w:rFonts w:ascii="Times New Roman"/>
                <w:b w:val="false"/>
                <w:i w:val="false"/>
                <w:color w:val="000000"/>
                <w:sz w:val="20"/>
              </w:rPr>
              <w:t>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w:t>
            </w:r>
          </w:p>
          <w:p>
            <w:pPr>
              <w:spacing w:after="20"/>
              <w:ind w:left="20"/>
              <w:jc w:val="both"/>
            </w:pPr>
            <w:r>
              <w:rPr>
                <w:rFonts w:ascii="Times New Roman"/>
                <w:b w:val="false"/>
                <w:i w:val="false"/>
                <w:color w:val="000000"/>
                <w:sz w:val="20"/>
              </w:rPr>
              <w:t>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p>
            <w:pPr>
              <w:spacing w:after="20"/>
              <w:ind w:left="20"/>
              <w:jc w:val="both"/>
            </w:pPr>
            <w:r>
              <w:rPr>
                <w:rFonts w:ascii="Times New Roman"/>
                <w:b w:val="false"/>
                <w:i w:val="false"/>
                <w:color w:val="000000"/>
                <w:sz w:val="20"/>
              </w:rPr>
              <w:t>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w:t>
            </w:r>
          </w:p>
          <w:p>
            <w:pPr>
              <w:spacing w:after="20"/>
              <w:ind w:left="20"/>
              <w:jc w:val="both"/>
            </w:pPr>
            <w:r>
              <w:rPr>
                <w:rFonts w:ascii="Times New Roman"/>
                <w:b w:val="false"/>
                <w:i w:val="false"/>
                <w:color w:val="000000"/>
                <w:sz w:val="20"/>
              </w:rPr>
              <w:t>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xml:space="preserve">
"Кескіндеме, мүсін және графика (түрлері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"Суретші"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4S02130102</w:t>
            </w:r>
          </w:p>
          <w:p>
            <w:pPr>
              <w:spacing w:after="20"/>
              <w:ind w:left="20"/>
              <w:jc w:val="both"/>
            </w:pPr>
            <w:r>
              <w:rPr>
                <w:rFonts w:ascii="Times New Roman"/>
                <w:b w:val="false"/>
                <w:i w:val="false"/>
                <w:color w:val="000000"/>
                <w:sz w:val="20"/>
              </w:rPr>
              <w:t>
"Суретші-иллюстратор"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p>
            <w:pPr>
              <w:spacing w:after="20"/>
              <w:ind w:left="20"/>
              <w:jc w:val="both"/>
            </w:pPr>
            <w:r>
              <w:rPr>
                <w:rFonts w:ascii="Times New Roman"/>
                <w:b w:val="false"/>
                <w:i w:val="false"/>
                <w:color w:val="000000"/>
                <w:sz w:val="20"/>
              </w:rPr>
              <w:t>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w:t>
            </w:r>
          </w:p>
          <w:p>
            <w:pPr>
              <w:spacing w:after="20"/>
              <w:ind w:left="20"/>
              <w:jc w:val="both"/>
            </w:pPr>
            <w:r>
              <w:rPr>
                <w:rFonts w:ascii="Times New Roman"/>
                <w:b w:val="false"/>
                <w:i w:val="false"/>
                <w:color w:val="000000"/>
                <w:sz w:val="20"/>
              </w:rPr>
              <w:t xml:space="preserve">
"Концертмейстер,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w:t>
            </w:r>
          </w:p>
          <w:p>
            <w:pPr>
              <w:spacing w:after="20"/>
              <w:ind w:left="20"/>
              <w:jc w:val="both"/>
            </w:pPr>
            <w:r>
              <w:rPr>
                <w:rFonts w:ascii="Times New Roman"/>
                <w:b w:val="false"/>
                <w:i w:val="false"/>
                <w:color w:val="000000"/>
                <w:sz w:val="20"/>
              </w:rPr>
              <w:t xml:space="preserve">
"Оркестр әртісі (дирижер), балалар музыка мектебінің оқытушысы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xml:space="preserve">
"Халық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xml:space="preserve">
"Эстрадалық аспаптар оркестрінің әртісі (дирижер), балалар музыка мектебінің оқытушысы"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p>
            <w:pPr>
              <w:spacing w:after="20"/>
              <w:ind w:left="20"/>
              <w:jc w:val="both"/>
            </w:pPr>
            <w:r>
              <w:rPr>
                <w:rFonts w:ascii="Times New Roman"/>
                <w:b w:val="false"/>
                <w:i w:val="false"/>
                <w:color w:val="000000"/>
                <w:sz w:val="20"/>
              </w:rPr>
              <w:t>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w:t>
            </w:r>
          </w:p>
          <w:p>
            <w:pPr>
              <w:spacing w:after="20"/>
              <w:ind w:left="20"/>
              <w:jc w:val="both"/>
            </w:pPr>
            <w:r>
              <w:rPr>
                <w:rFonts w:ascii="Times New Roman"/>
                <w:b w:val="false"/>
                <w:i w:val="false"/>
                <w:color w:val="000000"/>
                <w:sz w:val="20"/>
              </w:rPr>
              <w:t>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w:t>
            </w:r>
          </w:p>
          <w:p>
            <w:pPr>
              <w:spacing w:after="20"/>
              <w:ind w:left="20"/>
              <w:jc w:val="both"/>
            </w:pPr>
            <w:r>
              <w:rPr>
                <w:rFonts w:ascii="Times New Roman"/>
                <w:b w:val="false"/>
                <w:i w:val="false"/>
                <w:color w:val="000000"/>
                <w:sz w:val="20"/>
              </w:rPr>
              <w:t>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xml:space="preserve">
"Вокалдық өнер"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p>
            <w:pPr>
              <w:spacing w:after="20"/>
              <w:ind w:left="20"/>
              <w:jc w:val="both"/>
            </w:pPr>
            <w:r>
              <w:rPr>
                <w:rFonts w:ascii="Times New Roman"/>
                <w:b w:val="false"/>
                <w:i w:val="false"/>
                <w:color w:val="000000"/>
                <w:sz w:val="20"/>
              </w:rPr>
              <w:t>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w:t>
            </w:r>
          </w:p>
          <w:p>
            <w:pPr>
              <w:spacing w:after="20"/>
              <w:ind w:left="20"/>
              <w:jc w:val="both"/>
            </w:pPr>
            <w:r>
              <w:rPr>
                <w:rFonts w:ascii="Times New Roman"/>
                <w:b w:val="false"/>
                <w:i w:val="false"/>
                <w:color w:val="000000"/>
                <w:sz w:val="20"/>
              </w:rPr>
              <w:t>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"Театр- декорациялық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4S02150805</w:t>
            </w:r>
          </w:p>
          <w:p>
            <w:pPr>
              <w:spacing w:after="20"/>
              <w:ind w:left="20"/>
              <w:jc w:val="both"/>
            </w:pPr>
            <w:r>
              <w:rPr>
                <w:rFonts w:ascii="Times New Roman"/>
                <w:b w:val="false"/>
                <w:i w:val="false"/>
                <w:color w:val="000000"/>
                <w:sz w:val="20"/>
              </w:rPr>
              <w:t>
"Суретші-декораторі"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10150100 </w:t>
            </w:r>
          </w:p>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4S10150104 "Туризм менеджері"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2. "Темірбек Жүргенов атындағы Қазақ ұлттық өнер академиясы" республикалық мемлекеттік мекемесінің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4S02150502 "Музыка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02120100 "Интерьер дизайны"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4S02130101 "Суретші"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 "Суретші-мүсінші"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3. "Қазақ ұлттық хореография академиясы" шаруашылық жүргізу құқығындағы республикалық мемлекеттік кәсіпорнының колледжі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 "Би ансамблінің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1. Квоталар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4. "Жүсіпбек Елебеков атындағы республикалық эстрадалық-цирк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w:t>
            </w:r>
          </w:p>
          <w:p>
            <w:pPr>
              <w:spacing w:after="20"/>
              <w:ind w:left="20"/>
              <w:jc w:val="both"/>
            </w:pPr>
            <w:r>
              <w:rPr>
                <w:rFonts w:ascii="Times New Roman"/>
                <w:b w:val="false"/>
                <w:i w:val="false"/>
                <w:color w:val="000000"/>
                <w:sz w:val="20"/>
              </w:rPr>
              <w:t>
"Халық аспаптар оркестрінің әртісі (дирижер),</w:t>
            </w:r>
          </w:p>
          <w:p>
            <w:pPr>
              <w:spacing w:after="20"/>
              <w:ind w:left="20"/>
              <w:jc w:val="both"/>
            </w:pPr>
            <w:r>
              <w:rPr>
                <w:rFonts w:ascii="Times New Roman"/>
                <w:b w:val="false"/>
                <w:i w:val="false"/>
                <w:color w:val="000000"/>
                <w:sz w:val="20"/>
              </w:rPr>
              <w:t>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p>
            <w:pPr>
              <w:spacing w:after="20"/>
              <w:ind w:left="20"/>
              <w:jc w:val="both"/>
            </w:pPr>
            <w:r>
              <w:rPr>
                <w:rFonts w:ascii="Times New Roman"/>
                <w:b w:val="false"/>
                <w:i w:val="false"/>
                <w:color w:val="000000"/>
                <w:sz w:val="20"/>
              </w:rPr>
              <w:t>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w:t>
            </w:r>
          </w:p>
          <w:p>
            <w:pPr>
              <w:spacing w:after="20"/>
              <w:ind w:left="20"/>
              <w:jc w:val="both"/>
            </w:pPr>
            <w:r>
              <w:rPr>
                <w:rFonts w:ascii="Times New Roman"/>
                <w:b w:val="false"/>
                <w:i w:val="false"/>
                <w:color w:val="000000"/>
                <w:sz w:val="20"/>
              </w:rPr>
              <w:t>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w:t>
            </w:r>
          </w:p>
          <w:p>
            <w:pPr>
              <w:spacing w:after="20"/>
              <w:ind w:left="20"/>
              <w:jc w:val="both"/>
            </w:pPr>
            <w:r>
              <w:rPr>
                <w:rFonts w:ascii="Times New Roman"/>
                <w:b w:val="false"/>
                <w:i w:val="false"/>
                <w:color w:val="000000"/>
                <w:sz w:val="20"/>
              </w:rPr>
              <w:t>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p>
            <w:pPr>
              <w:spacing w:after="20"/>
              <w:ind w:left="20"/>
              <w:jc w:val="both"/>
            </w:pPr>
            <w:r>
              <w:rPr>
                <w:rFonts w:ascii="Times New Roman"/>
                <w:b w:val="false"/>
                <w:i w:val="false"/>
                <w:color w:val="000000"/>
                <w:sz w:val="20"/>
              </w:rPr>
              <w:t>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w:t>
            </w:r>
          </w:p>
          <w:p>
            <w:pPr>
              <w:spacing w:after="20"/>
              <w:ind w:left="20"/>
              <w:jc w:val="both"/>
            </w:pPr>
            <w:r>
              <w:rPr>
                <w:rFonts w:ascii="Times New Roman"/>
                <w:b w:val="false"/>
                <w:i w:val="false"/>
                <w:color w:val="000000"/>
                <w:sz w:val="20"/>
              </w:rPr>
              <w:t>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p>
            <w:pPr>
              <w:spacing w:after="20"/>
              <w:ind w:left="20"/>
              <w:jc w:val="both"/>
            </w:pPr>
            <w:r>
              <w:rPr>
                <w:rFonts w:ascii="Times New Roman"/>
                <w:b w:val="false"/>
                <w:i w:val="false"/>
                <w:color w:val="000000"/>
                <w:sz w:val="20"/>
              </w:rPr>
              <w:t>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4S02150702</w:t>
            </w:r>
          </w:p>
          <w:p>
            <w:pPr>
              <w:spacing w:after="20"/>
              <w:ind w:left="20"/>
              <w:jc w:val="both"/>
            </w:pPr>
            <w:r>
              <w:rPr>
                <w:rFonts w:ascii="Times New Roman"/>
                <w:b w:val="false"/>
                <w:i w:val="false"/>
                <w:color w:val="000000"/>
                <w:sz w:val="20"/>
              </w:rPr>
              <w:t>
"Би ансамбілінің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p>
            <w:pPr>
              <w:spacing w:after="20"/>
              <w:ind w:left="20"/>
              <w:jc w:val="both"/>
            </w:pPr>
            <w:r>
              <w:rPr>
                <w:rFonts w:ascii="Times New Roman"/>
                <w:b w:val="false"/>
                <w:i w:val="false"/>
                <w:color w:val="000000"/>
                <w:sz w:val="20"/>
              </w:rPr>
              <w:t>
"Актерлік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4S02150501</w:t>
            </w:r>
          </w:p>
          <w:p>
            <w:pPr>
              <w:spacing w:after="20"/>
              <w:ind w:left="20"/>
              <w:jc w:val="both"/>
            </w:pPr>
            <w:r>
              <w:rPr>
                <w:rFonts w:ascii="Times New Roman"/>
                <w:b w:val="false"/>
                <w:i w:val="false"/>
                <w:color w:val="000000"/>
                <w:sz w:val="20"/>
              </w:rPr>
              <w:t>
"Драма театрының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p>
            <w:pPr>
              <w:spacing w:after="20"/>
              <w:ind w:left="20"/>
              <w:jc w:val="both"/>
            </w:pPr>
            <w:r>
              <w:rPr>
                <w:rFonts w:ascii="Times New Roman"/>
                <w:b w:val="false"/>
                <w:i w:val="false"/>
                <w:color w:val="000000"/>
                <w:sz w:val="20"/>
              </w:rPr>
              <w:t>
"Цирк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4S02150601</w:t>
            </w:r>
          </w:p>
          <w:p>
            <w:pPr>
              <w:spacing w:after="20"/>
              <w:ind w:left="20"/>
              <w:jc w:val="both"/>
            </w:pPr>
            <w:r>
              <w:rPr>
                <w:rFonts w:ascii="Times New Roman"/>
                <w:b w:val="false"/>
                <w:i w:val="false"/>
                <w:color w:val="000000"/>
                <w:sz w:val="20"/>
              </w:rPr>
              <w:t>
"Цирк әртісі, цирк жанрларының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5. "Петр Чайковский атындағы Алматы музыкалық колледжі" </w:t>
            </w:r>
          </w:p>
          <w:p>
            <w:pPr>
              <w:spacing w:after="20"/>
              <w:ind w:left="20"/>
              <w:jc w:val="both"/>
            </w:pPr>
            <w:r>
              <w:rPr>
                <w:rFonts w:ascii="Times New Roman"/>
                <w:b w:val="false"/>
                <w:i w:val="false"/>
                <w:color w:val="000000"/>
                <w:sz w:val="20"/>
              </w:rPr>
              <w:t>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4S02150101 "Концертмейстер,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4S02150102 "Оркестр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4S02150103 "Халық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4S02150104 "Эстрадалық аспаптар оркестрінің әртісі (дирижер),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4S02150401 "Хормейстер,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4S02150201 "Музыкатанушы,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4S02150301 "Академиялық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4S02150302 "Дәстүрлі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4S02150303 "Эстрадалық ән салу әртісі, балалар музыка мектебінің оқытушысы"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02110200 "Дыбыс операторлық шеберлік"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4S02110201 "Дыбыс операторы"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6. "Орал Таңсықбаев атындағы сәндік-қолданбалы өнер колледжі"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p>
            <w:pPr>
              <w:spacing w:after="20"/>
              <w:ind w:left="20"/>
              <w:jc w:val="both"/>
            </w:pPr>
            <w:r>
              <w:rPr>
                <w:rFonts w:ascii="Times New Roman"/>
                <w:b w:val="false"/>
                <w:i w:val="false"/>
                <w:color w:val="000000"/>
                <w:sz w:val="20"/>
              </w:rPr>
              <w:t xml:space="preserve">
"Театр декорациялық өнері </w:t>
            </w:r>
          </w:p>
          <w:p>
            <w:pPr>
              <w:spacing w:after="20"/>
              <w:ind w:left="20"/>
              <w:jc w:val="both"/>
            </w:pPr>
            <w:r>
              <w:rPr>
                <w:rFonts w:ascii="Times New Roman"/>
                <w:b w:val="false"/>
                <w:i w:val="false"/>
                <w:color w:val="000000"/>
                <w:sz w:val="20"/>
              </w:rPr>
              <w:t>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4S02150805 </w:t>
            </w:r>
          </w:p>
          <w:p>
            <w:pPr>
              <w:spacing w:after="20"/>
              <w:ind w:left="20"/>
              <w:jc w:val="both"/>
            </w:pPr>
            <w:r>
              <w:rPr>
                <w:rFonts w:ascii="Times New Roman"/>
                <w:b w:val="false"/>
                <w:i w:val="false"/>
                <w:color w:val="000000"/>
                <w:sz w:val="20"/>
              </w:rPr>
              <w:t>
"Суретші-декоратор"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 "Графикалық және мультимедиялық дизайн"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4S02110304 "Графикалық дизайнер"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p>
            <w:pPr>
              <w:spacing w:after="20"/>
              <w:ind w:left="20"/>
              <w:jc w:val="both"/>
            </w:pPr>
            <w:r>
              <w:rPr>
                <w:rFonts w:ascii="Times New Roman"/>
                <w:b w:val="false"/>
                <w:i w:val="false"/>
                <w:color w:val="000000"/>
                <w:sz w:val="20"/>
              </w:rPr>
              <w:t>
"Интерьер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4S02120103</w:t>
            </w:r>
          </w:p>
          <w:p>
            <w:pPr>
              <w:spacing w:after="20"/>
              <w:ind w:left="20"/>
              <w:jc w:val="both"/>
            </w:pPr>
            <w:r>
              <w:rPr>
                <w:rFonts w:ascii="Times New Roman"/>
                <w:b w:val="false"/>
                <w:i w:val="false"/>
                <w:color w:val="000000"/>
                <w:sz w:val="20"/>
              </w:rPr>
              <w:t>
"Интерьер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p>
            <w:pPr>
              <w:spacing w:after="20"/>
              <w:ind w:left="20"/>
              <w:jc w:val="both"/>
            </w:pPr>
            <w:r>
              <w:rPr>
                <w:rFonts w:ascii="Times New Roman"/>
                <w:b w:val="false"/>
                <w:i w:val="false"/>
                <w:color w:val="000000"/>
                <w:sz w:val="20"/>
              </w:rPr>
              <w:t>
"Киім дизайны"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4S02120203</w:t>
            </w:r>
          </w:p>
          <w:p>
            <w:pPr>
              <w:spacing w:after="20"/>
              <w:ind w:left="20"/>
              <w:jc w:val="both"/>
            </w:pPr>
            <w:r>
              <w:rPr>
                <w:rFonts w:ascii="Times New Roman"/>
                <w:b w:val="false"/>
                <w:i w:val="false"/>
                <w:color w:val="000000"/>
                <w:sz w:val="20"/>
              </w:rPr>
              <w:t>
"Киім дизайнері"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4S02130101</w:t>
            </w:r>
          </w:p>
          <w:p>
            <w:pPr>
              <w:spacing w:after="20"/>
              <w:ind w:left="20"/>
              <w:jc w:val="both"/>
            </w:pPr>
            <w:r>
              <w:rPr>
                <w:rFonts w:ascii="Times New Roman"/>
                <w:b w:val="false"/>
                <w:i w:val="false"/>
                <w:color w:val="000000"/>
                <w:sz w:val="20"/>
              </w:rPr>
              <w:t xml:space="preserve">
"Суретші </w:t>
            </w:r>
          </w:p>
          <w:p>
            <w:pPr>
              <w:spacing w:after="20"/>
              <w:ind w:left="20"/>
              <w:jc w:val="both"/>
            </w:pPr>
            <w:r>
              <w:rPr>
                <w:rFonts w:ascii="Times New Roman"/>
                <w:b w:val="false"/>
                <w:i w:val="false"/>
                <w:color w:val="000000"/>
                <w:sz w:val="20"/>
              </w:rPr>
              <w:t>
(станокты кескіндеме)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 "Кескіндеме, мүсін және графика"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4S02130103</w:t>
            </w:r>
          </w:p>
          <w:p>
            <w:pPr>
              <w:spacing w:after="20"/>
              <w:ind w:left="20"/>
              <w:jc w:val="both"/>
            </w:pPr>
            <w:r>
              <w:rPr>
                <w:rFonts w:ascii="Times New Roman"/>
                <w:b w:val="false"/>
                <w:i w:val="false"/>
                <w:color w:val="000000"/>
                <w:sz w:val="20"/>
              </w:rPr>
              <w:t xml:space="preserve">
"Суретші-мүсінші"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4S02140104</w:t>
            </w:r>
          </w:p>
          <w:p>
            <w:pPr>
              <w:spacing w:after="20"/>
              <w:ind w:left="20"/>
              <w:jc w:val="both"/>
            </w:pPr>
            <w:r>
              <w:rPr>
                <w:rFonts w:ascii="Times New Roman"/>
                <w:b w:val="false"/>
                <w:i w:val="false"/>
                <w:color w:val="000000"/>
                <w:sz w:val="20"/>
              </w:rPr>
              <w:t>
"Сәндік қолданбалы өнер суретшісі"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7. "Александр Селезнев атындағы Алматы хореографиялық училищесі" республикалық мемлекеттік қазыналық кәсіпорны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атауы және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4S02150701</w:t>
            </w:r>
          </w:p>
          <w:p>
            <w:pPr>
              <w:spacing w:after="20"/>
              <w:ind w:left="20"/>
              <w:jc w:val="both"/>
            </w:pPr>
            <w:r>
              <w:rPr>
                <w:rFonts w:ascii="Times New Roman"/>
                <w:b w:val="false"/>
                <w:i w:val="false"/>
                <w:color w:val="000000"/>
                <w:sz w:val="20"/>
              </w:rPr>
              <w:t>
"Балет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4S02150702 </w:t>
            </w:r>
          </w:p>
          <w:p>
            <w:pPr>
              <w:spacing w:after="20"/>
              <w:ind w:left="20"/>
              <w:jc w:val="both"/>
            </w:pPr>
            <w:r>
              <w:rPr>
                <w:rFonts w:ascii="Times New Roman"/>
                <w:b w:val="false"/>
                <w:i w:val="false"/>
                <w:color w:val="000000"/>
                <w:sz w:val="20"/>
              </w:rPr>
              <w:t>
"Би ансамблі әртісі"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Квотлар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үшін – 10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үшін – 0,5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 үшін – 4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үшін – 5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кезінен мүгедектігі бар балаларды, бірінші немесе екінші топтағы мүгедектігі бар адамдарды тәрбиелеп отырған отбасылардағы балалар үшін – 5 пайыз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мерзімді әскери қызметтің белгіленген мерзімін өткерген Қазақстан Республикасының азаматтары үшін – 1 пайыз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бойынша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