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406ab" w14:textId="40406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"Тарихи-мәдени мұра объектілерін қорғау және пайдалану жөніндегі ұйымдар қызметінің қағидалары бекіту туралы" Қазақстан Республикасы Премьер-Министрінің орынбасары - Мәдениет және ақпарат министрінің 2026 жылғы 20 сәуірдегі № 196-НҚ бұйрығына өзгеріс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2026 жылғы 16 шiлдедегi № 334-НҚ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"Тарихи-мәдени мұра объектілерін қорғау және пайдалану жөніндегі ұйымдар қызметінің қағидалары бекіту туралы" Қазақстан Республикасы Премьер-Министрінің орынбасары - Мәдениет және ақпарат министрінің 2026 жылғы 20 сәуірдегі № 196-НҚ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Тарихи-мәдени мұра объектілерін қорғау және пайдалану жөніндегі ұйымдар қызметінің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"1) жергілікті атқарушы орган (әкімдік) - астананың, облыстың және республикалық маңызы бар қаланың,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4"/>
    <w:bookmarkStart w:name="z9" w:id="5"/>
    <w:p>
      <w:pPr>
        <w:spacing w:after="0"/>
        <w:ind w:left="0"/>
        <w:jc w:val="both"/>
      </w:pPr>
      <w:r>
        <w:rPr>
          <w:rFonts w:ascii="Times New Roman"/>
          <w:b w:val="false"/>
          <w:i w:val="false"/>
          <w:color w:val="000000"/>
          <w:sz w:val="28"/>
        </w:rPr>
        <w:t>
      2. Қазақстан Республикасы Мәдениет және ақпарат министрлігінің Мәдениет комитеті Қазақстан Республикасының заңнамасында белгіленген тәртiппен:</w:t>
      </w:r>
    </w:p>
    <w:bookmarkEnd w:id="5"/>
    <w:bookmarkStart w:name="z10" w:id="6"/>
    <w:p>
      <w:pPr>
        <w:spacing w:after="0"/>
        <w:ind w:left="0"/>
        <w:jc w:val="both"/>
      </w:pPr>
      <w:r>
        <w:rPr>
          <w:rFonts w:ascii="Times New Roman"/>
          <w:b w:val="false"/>
          <w:i w:val="false"/>
          <w:color w:val="000000"/>
          <w:sz w:val="28"/>
        </w:rPr>
        <w:t>
      1) осы бұйрыққа қол қойылған күннен бастап күнтізбелік бес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жіберуді;</w:t>
      </w:r>
    </w:p>
    <w:bookmarkEnd w:id="6"/>
    <w:bookmarkStart w:name="z11" w:id="7"/>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Мәдениет және ақпарат министрлігінің интернет-ресурсында орналастыруды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8"/>
    <w:bookmarkStart w:name="z13"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ақпарат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Ысқақов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