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205e" w14:textId="96d2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үкіметтің" цифрлық инфрақұрылым объектілерінің тізбесін бекіту туралы" Қазақстан Республикасы Премьер-Министрінің орынбасары – Жасанды интеллект және цифрлық даму министрінің 2026 жылғы 17 наурыздағы № 149/НҚ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24 тамыздағы № 503/НҚ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"Цифрлық үкіметтің" цифрлық инфрақұрылым объектілерінің тізбесін бекіту туралы" Қазақстан Республикасы Премьер-Министрінің орынбасары – Жасанды интеллект және цифрлық даму министрінің 2026 жылғы 17 наурыздағы №149/НҚ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"Цифрлық үкіметтің" цифрлық инфрақұрылым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"31) "Қазақстан Республикасының сенім білдірілген үшінші тарабы" цифрлық жүйесі;";</w:t>
      </w:r>
    </w:p>
    <w:bookmarkEnd w:id="3"/>
    <w:bookmarkStart w:name="z10" w:id="4"/>
    <w:p>
      <w:pPr>
        <w:spacing w:after="0"/>
        <w:ind w:left="0"/>
        <w:jc w:val="both"/>
      </w:pPr>
      <w:r>
        <w:rPr>
          <w:rFonts w:ascii="Times New Roman"/>
          <w:b w:val="false"/>
          <w:i w:val="false"/>
          <w:color w:val="000000"/>
          <w:sz w:val="28"/>
        </w:rPr>
        <w:t>
      мынадай мазмұндағы 32) тармақшамен толықтырылсын:</w:t>
      </w:r>
    </w:p>
    <w:bookmarkEnd w:id="4"/>
    <w:bookmarkStart w:name="z11" w:id="5"/>
    <w:p>
      <w:pPr>
        <w:spacing w:after="0"/>
        <w:ind w:left="0"/>
        <w:jc w:val="both"/>
      </w:pPr>
      <w:r>
        <w:rPr>
          <w:rFonts w:ascii="Times New Roman"/>
          <w:b w:val="false"/>
          <w:i w:val="false"/>
          <w:color w:val="000000"/>
          <w:sz w:val="28"/>
        </w:rPr>
        <w:t>
      "32) "TazaQazBot" бағдарламалық өнімі" цифрлық жүйесі.".</w:t>
      </w:r>
    </w:p>
    <w:bookmarkEnd w:id="5"/>
    <w:bookmarkStart w:name="z12" w:id="6"/>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трансформация саясаты департаменті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