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df5e" w14:textId="471d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министрінің 2022 жылғы 29 қыркүйектегі № 355/НҚ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6 мамырдағы № 240/НҚ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2022 жылғы 29 қыркүйектегі № 355/НҚ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тексеру және рұқсат беру не әужді бас тартуды мемлекеттік рұқсаттар және хабарламалар цифрлық жүйесінде автоматты режимде жүзеге асырылатын рұқсаттар тізбесін бекіту туралы";</w:t>
      </w:r>
    </w:p>
    <w:bookmarkEnd w:id="2"/>
    <w:bookmarkStart w:name="z8" w:id="3"/>
    <w:p>
      <w:pPr>
        <w:spacing w:after="0"/>
        <w:ind w:left="0"/>
        <w:jc w:val="both"/>
      </w:pPr>
      <w:r>
        <w:rPr>
          <w:rFonts w:ascii="Times New Roman"/>
          <w:b w:val="false"/>
          <w:i w:val="false"/>
          <w:color w:val="000000"/>
          <w:sz w:val="28"/>
        </w:rPr>
        <w:t xml:space="preserve">
      осы бұйрықпен бекітілген Өтініш берушінің біліктілік немесе рұқсат беру талаптарына сәйкестігін тексеру және рұқсат беру не дәлелді бас тартуды мемлекеттік рұқсаттар және хабарламалар ақпараттық жүйесінде автоматты режимде жүзеге асырылатын рұқсаттар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цифрлық жүйесінде өтініш берушіні тексерудің және рұқсат берудің автоматты режимінде жүзеге асырылатын рұқсаттар тізбесі".</w:t>
      </w:r>
    </w:p>
    <w:bookmarkEnd w:id="4"/>
    <w:bookmarkStart w:name="z11" w:id="5"/>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 Мемлекеттік көрсетілетін қызметтер комитеті Қазақстан Республикасының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xml:space="preserve">
      Сауда және интеграция </w:t>
      </w:r>
    </w:p>
    <w:bookmarkEnd w:id="12"/>
    <w:bookmarkStart w:name="z20" w:id="13"/>
    <w:p>
      <w:pPr>
        <w:spacing w:after="0"/>
        <w:ind w:left="0"/>
        <w:jc w:val="both"/>
      </w:pPr>
      <w:r>
        <w:rPr>
          <w:rFonts w:ascii="Times New Roman"/>
          <w:b w:val="false"/>
          <w:i w:val="false"/>
          <w:color w:val="000000"/>
          <w:sz w:val="28"/>
        </w:rPr>
        <w:t>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